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b/>
          <w:sz w:val="22"/>
        </w:rPr>
        <w:t>Table S2. Implemented final-time endpoint definitions.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6"/>
        <w:gridCol w:w="3353"/>
        <w:gridCol w:w="4191"/>
      </w:tblGrid>
      <w:tr>
        <w:tc>
          <w:tcPr>
            <w:tcW w:type="dxa" w:w="1816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Criterion</w:t>
            </w:r>
          </w:p>
        </w:tc>
        <w:tc>
          <w:tcPr>
            <w:tcW w:type="dxa" w:w="3353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Rule</w:t>
            </w:r>
          </w:p>
        </w:tc>
        <w:tc>
          <w:tcPr>
            <w:tcW w:type="dxa" w:w="4191"/>
            <w:shd w:fill="EAF1F8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Meaning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warm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warm_fraction ≥ 0.50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final-time unweighted radial-node fraction with 43 ≤ T ≤ 50 °C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ros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ros_threshold_fraction ≥ 0.50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final-time radial-node fraction with accumulated ROS dose ≥ 0.67 mM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hypoxia_ok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hypoxic_failure_fraction ≤ 0.35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final-time radial-node fraction with O2 &lt; 5 µM AND ROS below threshold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safe_heat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overheat_fraction ≤ 0.05 and max_T ≤ 55 °C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final-time temperature criterion; not treatment-wide safety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success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warm AND ros AND hypoxia_ok AND safe_heat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all four criteria simultaneously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thermal_failure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NOT warm AND safe_heat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not warm while satisfying the final-time temperature criterion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ros_failure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NOT ros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ROS dose below threshold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overheat_failure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NOT safe_heat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failure of the final-time temperature criterion</w:t>
            </w:r>
          </w:p>
        </w:tc>
      </w:tr>
      <w:tr>
        <w:tc>
          <w:tcPr>
            <w:tcW w:type="dxa" w:w="1816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hypoxic_failure</w:t>
            </w:r>
          </w:p>
        </w:tc>
        <w:tc>
          <w:tcPr>
            <w:tcW w:type="dxa" w:w="3353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NOT hypoxia_ok</w:t>
            </w:r>
          </w:p>
        </w:tc>
        <w:tc>
          <w:tcPr>
            <w:tcW w:type="dxa" w:w="4191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/>
                <w:sz w:val="16"/>
              </w:rPr>
              <w:t>failure of the final-time hypoxia criterion</w:t>
            </w:r>
          </w:p>
        </w:tc>
      </w:tr>
    </w:tbl>
    <w:p>
      <w:pPr>
        <w:spacing w:line="240" w:lineRule="auto"/>
      </w:pPr>
      <w:r>
        <w:rPr>
          <w:i/>
          <w:sz w:val="18"/>
        </w:rPr>
        <w:t>All fractions are unweighted radial-node fractions at the final time of a 3,000 s run. They are neither treatment-time nor spherical-volume fractions. max_T is the final spatial maximum. The stored safe_heat flag does not exclude earlier excursions or establish absence of injury. Thermal failure excludes cases failing safe_heat; marginal decreases do not imply better heating reliability.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