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sz w:val="22"/>
        </w:rPr>
        <w:t>Table S3. Rank stability under random objective weights.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82"/>
        <w:gridCol w:w="1498"/>
        <w:gridCol w:w="1498"/>
        <w:gridCol w:w="1685"/>
        <w:gridCol w:w="1498"/>
      </w:tblGrid>
      <w:tr>
        <w:tc>
          <w:tcPr>
            <w:tcW w:type="dxa" w:w="3182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498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P(rank 1)</w:t>
            </w:r>
          </w:p>
        </w:tc>
        <w:tc>
          <w:tcPr>
            <w:tcW w:type="dxa" w:w="1498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P(top 2)</w:t>
            </w:r>
          </w:p>
        </w:tc>
        <w:tc>
          <w:tcPr>
            <w:tcW w:type="dxa" w:w="168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P(rank last)</w:t>
            </w:r>
          </w:p>
        </w:tc>
        <w:tc>
          <w:tcPr>
            <w:tcW w:type="dxa" w:w="1498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Mean rank</w:t>
            </w:r>
          </w:p>
        </w:tc>
      </w:tr>
      <w:tr>
        <w:tc>
          <w:tcPr>
            <w:tcW w:type="dxa" w:w="318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0.385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0.695</w:t>
            </w:r>
          </w:p>
        </w:tc>
        <w:tc>
          <w:tcPr>
            <w:tcW w:type="dxa" w:w="16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0.000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1.92</w:t>
            </w:r>
          </w:p>
        </w:tc>
      </w:tr>
      <w:tr>
        <w:tc>
          <w:tcPr>
            <w:tcW w:type="dxa" w:w="318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0.279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0.470</w:t>
            </w:r>
          </w:p>
        </w:tc>
        <w:tc>
          <w:tcPr>
            <w:tcW w:type="dxa" w:w="16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0.160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2.41</w:t>
            </w:r>
          </w:p>
        </w:tc>
      </w:tr>
      <w:tr>
        <w:tc>
          <w:tcPr>
            <w:tcW w:type="dxa" w:w="318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0.228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0.652</w:t>
            </w:r>
          </w:p>
        </w:tc>
        <w:tc>
          <w:tcPr>
            <w:tcW w:type="dxa" w:w="16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0.118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2.24</w:t>
            </w:r>
          </w:p>
        </w:tc>
      </w:tr>
      <w:tr>
        <w:tc>
          <w:tcPr>
            <w:tcW w:type="dxa" w:w="318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0.107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0.183</w:t>
            </w:r>
          </w:p>
        </w:tc>
        <w:tc>
          <w:tcPr>
            <w:tcW w:type="dxa" w:w="16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0.723</w:t>
            </w:r>
          </w:p>
        </w:tc>
        <w:tc>
          <w:tcPr>
            <w:tcW w:type="dxa" w:w="149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3.43</w:t>
            </w:r>
          </w:p>
        </w:tc>
      </w:tr>
    </w:tbl>
    <w:p>
      <w:pPr>
        <w:spacing w:line="240" w:lineRule="auto"/>
      </w:pPr>
      <w:r>
        <w:rPr>
          <w:i/>
          <w:sz w:val="18"/>
        </w:rPr>
        <w:t>200,000 Dirichlet(1,1,1,1,1) draws over five objectives (success, thermal failure, ROS failure, overheating, energy), min-max normalised across the four alternatives. Ranks are conditional on these objectives, candidates, normalisation and weight distribution. Pareto membership uses point estimates without uncertainty propagation; the baseline is a reference rather than a fifth candidate.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