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40" w:lineRule="auto"/>
      </w:pPr>
      <w:r>
        <w:rPr>
          <w:b/>
          <w:sz w:val="22"/>
        </w:rPr>
        <w:t>Table 2. Failure-mode and energy endpoints.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77"/>
        <w:gridCol w:w="1599"/>
        <w:gridCol w:w="1540"/>
        <w:gridCol w:w="1540"/>
        <w:gridCol w:w="1836"/>
        <w:gridCol w:w="1066"/>
      </w:tblGrid>
      <w:tr>
        <w:tc>
          <w:tcPr>
            <w:tcW w:type="dxa" w:w="1777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Controller</w:t>
            </w:r>
          </w:p>
        </w:tc>
        <w:tc>
          <w:tcPr>
            <w:tcW w:type="dxa" w:w="1599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Thermal failure</w:t>
            </w:r>
          </w:p>
        </w:tc>
        <w:tc>
          <w:tcPr>
            <w:tcW w:type="dxa" w:w="1540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ROS failure</w:t>
            </w:r>
          </w:p>
        </w:tc>
        <w:tc>
          <w:tcPr>
            <w:tcW w:type="dxa" w:w="1540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Overheating</w:t>
            </w:r>
          </w:p>
        </w:tc>
        <w:tc>
          <w:tcPr>
            <w:tcW w:type="dxa" w:w="1836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Delivered energy (J cm⁻²)</w:t>
            </w:r>
          </w:p>
        </w:tc>
        <w:tc>
          <w:tcPr>
            <w:tcW w:type="dxa" w:w="1066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Pareto status</w:t>
            </w:r>
          </w:p>
        </w:tc>
      </w:tr>
      <w:tr>
        <w:tc>
          <w:tcPr>
            <w:tcW w:type="dxa" w:w="177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Smoothed predictive</w:t>
            </w:r>
          </w:p>
        </w:tc>
        <w:tc>
          <w:tcPr>
            <w:tcW w:type="dxa" w:w="159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+0.038 (0.009 to 0.069)</w:t>
            </w:r>
          </w:p>
        </w:tc>
        <w:tc>
          <w:tcPr>
            <w:tcW w:type="dxa" w:w="15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-0.023 (-0.041 to -0.009)</w:t>
            </w:r>
          </w:p>
        </w:tc>
        <w:tc>
          <w:tcPr>
            <w:tcW w:type="dxa" w:w="15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-0.012 (-0.025 to 0.003)</w:t>
            </w:r>
          </w:p>
        </w:tc>
        <w:tc>
          <w:tcPr>
            <w:tcW w:type="dxa" w:w="183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-23.5 (-33.6 to -13.2)</w:t>
            </w:r>
          </w:p>
        </w:tc>
        <w:tc>
          <w:tcPr>
            <w:tcW w:type="dxa" w:w="106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Non-dominated</w:t>
            </w:r>
          </w:p>
        </w:tc>
      </w:tr>
      <w:tr>
        <w:tc>
          <w:tcPr>
            <w:tcW w:type="dxa" w:w="177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Thermal-floor predictive</w:t>
            </w:r>
          </w:p>
        </w:tc>
        <w:tc>
          <w:tcPr>
            <w:tcW w:type="dxa" w:w="159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-0.037 (-0.081 to 0.006)</w:t>
            </w:r>
          </w:p>
        </w:tc>
        <w:tc>
          <w:tcPr>
            <w:tcW w:type="dxa" w:w="15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-0.017 (-0.031 to -0.005)</w:t>
            </w:r>
          </w:p>
        </w:tc>
        <w:tc>
          <w:tcPr>
            <w:tcW w:type="dxa" w:w="15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+0.095 (0.074 to 0.116)</w:t>
            </w:r>
          </w:p>
        </w:tc>
        <w:tc>
          <w:tcPr>
            <w:tcW w:type="dxa" w:w="183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+44.2 (31.1 to 57.8)</w:t>
            </w:r>
          </w:p>
        </w:tc>
        <w:tc>
          <w:tcPr>
            <w:tcW w:type="dxa" w:w="106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Non-dominated</w:t>
            </w:r>
          </w:p>
        </w:tc>
      </w:tr>
      <w:tr>
        <w:tc>
          <w:tcPr>
            <w:tcW w:type="dxa" w:w="177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Constrained optimized</w:t>
            </w:r>
          </w:p>
        </w:tc>
        <w:tc>
          <w:tcPr>
            <w:tcW w:type="dxa" w:w="159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-0.010 (-0.052 to 0.030)</w:t>
            </w:r>
          </w:p>
        </w:tc>
        <w:tc>
          <w:tcPr>
            <w:tcW w:type="dxa" w:w="15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-0.002 (-0.015 to 0.010)</w:t>
            </w:r>
          </w:p>
        </w:tc>
        <w:tc>
          <w:tcPr>
            <w:tcW w:type="dxa" w:w="15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+0.020 (0.008 to 0.031)</w:t>
            </w:r>
          </w:p>
        </w:tc>
        <w:tc>
          <w:tcPr>
            <w:tcW w:type="dxa" w:w="183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-59.1 (-65.3 to -53.0)</w:t>
            </w:r>
          </w:p>
        </w:tc>
        <w:tc>
          <w:tcPr>
            <w:tcW w:type="dxa" w:w="106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Non-dominated</w:t>
            </w:r>
          </w:p>
        </w:tc>
      </w:tr>
      <w:tr>
        <w:tc>
          <w:tcPr>
            <w:tcW w:type="dxa" w:w="177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Reduced-order MPC</w:t>
            </w:r>
          </w:p>
        </w:tc>
        <w:tc>
          <w:tcPr>
            <w:tcW w:type="dxa" w:w="159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-0.048 (-0.093 to -0.003)</w:t>
            </w:r>
          </w:p>
        </w:tc>
        <w:tc>
          <w:tcPr>
            <w:tcW w:type="dxa" w:w="15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-0.054 (-0.079 to -0.031)</w:t>
            </w:r>
          </w:p>
        </w:tc>
        <w:tc>
          <w:tcPr>
            <w:tcW w:type="dxa" w:w="15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+0.497 (0.456 to 0.538)</w:t>
            </w:r>
          </w:p>
        </w:tc>
        <w:tc>
          <w:tcPr>
            <w:tcW w:type="dxa" w:w="183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+549.7 (498.2 to 603.5)</w:t>
            </w:r>
          </w:p>
        </w:tc>
        <w:tc>
          <w:tcPr>
            <w:tcW w:type="dxa" w:w="106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Non-dominated</w:t>
            </w:r>
          </w:p>
        </w:tc>
      </w:tr>
    </w:tbl>
    <w:p>
      <w:pPr>
        <w:spacing w:line="240" w:lineRule="auto"/>
      </w:pPr>
      <w:r>
        <w:rPr>
          <w:i/>
          <w:sz w:val="18"/>
        </w:rPr>
        <w:t>Values are paired changes in the endpoint rate (or in delivered energy) against the full-feedback baseline, with approximate 95% seed-stratified parent-block bootstrap intervals (10,000 replicates). Negative failure changes indicate fewer failures. Hypoxic failure did not change for any controller (all deltas 0.000, 95% CI 0.000 to 0.000) and is omitted. Pareto status is computed over the five objectives shown in Table 1 and this table; all four controllers are mutually non-dominated.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