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S3. Rank stability under random objective weights.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Controller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P(rank 1)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P(top 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P(rank last)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6"/>
              </w:rPr>
              <w:t>Mean rank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0.385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0.695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1.92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0.279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0.470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0.160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2.41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0.228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0.652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0.118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2.24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0.107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0.183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0.723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16"/>
              </w:rPr>
              <w:t>3.43</w:t>
            </w:r>
          </w:p>
        </w:tc>
      </w:tr>
    </w:tbl>
    <w:p>
      <w:r>
        <w:rPr>
          <w:i/>
          <w:sz w:val="18"/>
        </w:rPr>
        <w:t>200,000 draws from a uniform Dirichlet prior over the five objectives (success, thermal failure, ROS failure, overheating, energy), each min-max normalised across controllers before weighting. This replaces the single fixed-weight utility used in the earlier analysis, which is not reproducible as a preference statement.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