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b/>
          <w:sz w:val="22"/>
        </w:rPr>
        <w:t>Table 1. Success endpoints across the full simulation atlas.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5"/>
        <w:gridCol w:w="709"/>
        <w:gridCol w:w="922"/>
        <w:gridCol w:w="993"/>
        <w:gridCol w:w="2127"/>
        <w:gridCol w:w="709"/>
        <w:gridCol w:w="993"/>
        <w:gridCol w:w="922"/>
      </w:tblGrid>
      <w:tr>
        <w:tc>
          <w:tcPr>
            <w:tcW w:type="dxa" w:w="1985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Controller</w:t>
            </w:r>
          </w:p>
        </w:tc>
        <w:tc>
          <w:tcPr>
            <w:tcW w:type="dxa" w:w="709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Pairs</w:t>
            </w:r>
          </w:p>
        </w:tc>
        <w:tc>
          <w:tcPr>
            <w:tcW w:type="dxa" w:w="922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Baseline success</w:t>
            </w:r>
          </w:p>
        </w:tc>
        <w:tc>
          <w:tcPr>
            <w:tcW w:type="dxa" w:w="993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Controller success</w:t>
            </w:r>
          </w:p>
        </w:tc>
        <w:tc>
          <w:tcPr>
            <w:tcW w:type="dxa" w:w="2127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Change in success (95% CI)</w:t>
            </w:r>
          </w:p>
        </w:tc>
        <w:tc>
          <w:tcPr>
            <w:tcW w:type="dxa" w:w="709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p</w:t>
            </w:r>
          </w:p>
        </w:tc>
        <w:tc>
          <w:tcPr>
            <w:tcW w:type="dxa" w:w="993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Approx. MDE (80%)</w:t>
            </w:r>
          </w:p>
        </w:tc>
        <w:tc>
          <w:tcPr>
            <w:tcW w:type="dxa" w:w="922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Rescued / lost</w:t>
            </w:r>
          </w:p>
        </w:tc>
      </w:tr>
      <w:tr>
        <w:tc>
          <w:tcPr>
            <w:tcW w:type="dxa" w:w="19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Smoothed predictive</w:t>
            </w:r>
          </w:p>
        </w:tc>
        <w:tc>
          <w:tcPr>
            <w:tcW w:type="dxa" w:w="7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92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99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0.541</w:t>
            </w:r>
          </w:p>
        </w:tc>
        <w:tc>
          <w:tcPr>
            <w:tcW w:type="dxa" w:w="212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-0.018 (-0.051 to 0.013)</w:t>
            </w:r>
          </w:p>
        </w:tc>
        <w:tc>
          <w:tcPr>
            <w:tcW w:type="dxa" w:w="7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0.272</w:t>
            </w:r>
          </w:p>
        </w:tc>
        <w:tc>
          <w:tcPr>
            <w:tcW w:type="dxa" w:w="99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0.046</w:t>
            </w:r>
          </w:p>
        </w:tc>
        <w:tc>
          <w:tcPr>
            <w:tcW w:type="dxa" w:w="92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535 / 620</w:t>
            </w:r>
          </w:p>
        </w:tc>
      </w:tr>
      <w:tr>
        <w:tc>
          <w:tcPr>
            <w:tcW w:type="dxa" w:w="19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Thermal-floor predictive</w:t>
            </w:r>
          </w:p>
        </w:tc>
        <w:tc>
          <w:tcPr>
            <w:tcW w:type="dxa" w:w="7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92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99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0.511</w:t>
            </w:r>
          </w:p>
        </w:tc>
        <w:tc>
          <w:tcPr>
            <w:tcW w:type="dxa" w:w="212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-0.049 (-0.097 to 0.001)</w:t>
            </w:r>
          </w:p>
        </w:tc>
        <w:tc>
          <w:tcPr>
            <w:tcW w:type="dxa" w:w="7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0.061</w:t>
            </w:r>
          </w:p>
        </w:tc>
        <w:tc>
          <w:tcPr>
            <w:tcW w:type="dxa" w:w="99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0.070</w:t>
            </w:r>
          </w:p>
        </w:tc>
        <w:tc>
          <w:tcPr>
            <w:tcW w:type="dxa" w:w="92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688 / 912</w:t>
            </w:r>
          </w:p>
        </w:tc>
      </w:tr>
      <w:tr>
        <w:tc>
          <w:tcPr>
            <w:tcW w:type="dxa" w:w="19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Constrained optimized</w:t>
            </w:r>
          </w:p>
        </w:tc>
        <w:tc>
          <w:tcPr>
            <w:tcW w:type="dxa" w:w="7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92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99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0.553</w:t>
            </w:r>
          </w:p>
        </w:tc>
        <w:tc>
          <w:tcPr>
            <w:tcW w:type="dxa" w:w="212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-0.007 (-0.046 to 0.033)</w:t>
            </w:r>
          </w:p>
        </w:tc>
        <w:tc>
          <w:tcPr>
            <w:tcW w:type="dxa" w:w="7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0.737</w:t>
            </w:r>
          </w:p>
        </w:tc>
        <w:tc>
          <w:tcPr>
            <w:tcW w:type="dxa" w:w="99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0.056</w:t>
            </w:r>
          </w:p>
        </w:tc>
        <w:tc>
          <w:tcPr>
            <w:tcW w:type="dxa" w:w="92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703 / 735</w:t>
            </w:r>
          </w:p>
        </w:tc>
      </w:tr>
      <w:tr>
        <w:tc>
          <w:tcPr>
            <w:tcW w:type="dxa" w:w="198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Reduced-order MPC</w:t>
            </w:r>
          </w:p>
        </w:tc>
        <w:tc>
          <w:tcPr>
            <w:tcW w:type="dxa" w:w="7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4608</w:t>
            </w:r>
          </w:p>
        </w:tc>
        <w:tc>
          <w:tcPr>
            <w:tcW w:type="dxa" w:w="92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0.560</w:t>
            </w:r>
          </w:p>
        </w:tc>
        <w:tc>
          <w:tcPr>
            <w:tcW w:type="dxa" w:w="99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0.127</w:t>
            </w:r>
          </w:p>
        </w:tc>
        <w:tc>
          <w:tcPr>
            <w:tcW w:type="dxa" w:w="212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-0.432 (-0.497 to -0.365)</w:t>
            </w:r>
          </w:p>
        </w:tc>
        <w:tc>
          <w:tcPr>
            <w:tcW w:type="dxa" w:w="7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99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0.093</w:t>
            </w:r>
          </w:p>
        </w:tc>
        <w:tc>
          <w:tcPr>
            <w:tcW w:type="dxa" w:w="92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273 / 2265</w:t>
            </w:r>
          </w:p>
        </w:tc>
      </w:tr>
    </w:tbl>
    <w:p>
      <w:pPr>
        <w:spacing w:line="240" w:lineRule="auto"/>
      </w:pPr>
      <w:r>
        <w:rPr>
          <w:i/>
          <w:sz w:val="18"/>
        </w:rPr>
        <w:t>All 4,608 paired trials per controller (96 parent blocks; four families × 12 scenarios per block). Change is the paired risk difference against the same full-feedback baseline, with a 95% approximate seed-stratified parent-block bootstrap interval (10,000 replicates) and an exploratory sign-flip p-value (20,000 sign vectors). MDE is an approximate unadjusted normal-theory precision summary at 80% power, not a guarantee for Holm or sign-flip testing. It uses the observed bootstrap standard error. Overall contrasts are descriptive; the declared exploratory multiplicity family is the 12 controller × band contrasts in Table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