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Journal of Computational Physics</w:t>
      </w:r>
    </w:p>
    <w:p/>
    <w:p>
      <w:r>
        <w:rPr>
          <w:b/>
        </w:rPr>
        <w:t>Subject:</w:t>
      </w:r>
      <w:r>
        <w:t xml:space="preserve"> Submission of an original research article</w:t>
      </w:r>
    </w:p>
    <w:p/>
    <w:p>
      <w:r>
        <w:t>Dear Editors,</w:t>
      </w:r>
    </w:p>
    <w:p/>
    <w:p>
      <w:r>
        <w:t xml:space="preserve">We submit this manuscript for consideration in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together with a controlled numerical study and an identifiability analysis for nanopore experiments.</w:t>
      </w:r>
    </w:p>
    <w:p/>
    <w:p>
      <w:r>
        <w:t xml:space="preserve">I am pleased to submit the original research article entitled </w:t>
      </w:r>
      <w:r>
        <w:rPr>
          <w:b/>
        </w:rPr>
        <w:t>"Charge-balanced neural operators, conductance identifiability limits, and warm-started finite-volume solvers for nanopore ion transport"</w:t>
      </w:r>
      <w:r>
        <w:t xml:space="preserve"> for consideration at </w:t>
      </w:r>
      <w:r>
        <w:rPr>
          <w:i/>
        </w:rPr>
        <w:t>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Journal of Computational Physics</w:t>
      </w:r>
      <w:r>
        <w:t xml:space="preserve"> because its core contributions are a numerical-methods result and a validated identifiability ansatz that removes subtractive cancellation in coupled Nernst–Planck fields, a controlled accuracy, ablation, and out-of-distribution study of two operator backbones against a conservative Scharfetter–Gummel reference, and a Fisher analysis validated against exact float64 finite-difference Jacobians.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2,700-realization study reveal a physical conductance identifiability boundary: dual current–plus–near-wall-selectivity inversion reaches 1.7% median charge error and 0.17% radius error, but only 68% 95% coverage at 1% noise because a roughly 2% surrogate bias floor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9.5-fold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2,700-realization blind inverse study with shared noisy observations shows that the dual current-plus-selectivity protocol reaches 1.7% median charge error but only 68% 95% coverage at 1% noise, while the reversal potential is state dependent (263% weak-charge versus 7.3% strong-charge). We therefore report a bias-limited 2% recovery and a strong-exclusion 7%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