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Charge-balanced neural operators, conductance identifiability limits, and warm-started finite-volume solvers for nanopore ion transport</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PINO-Nanopore maps four PNP parameters in 0.072 ms with 13% lower net-charge error.</w:t>
      </w:r>
    </w:p>
    <w:p>
      <w:pPr>
        <w:pStyle w:val="ListBullet"/>
      </w:pPr>
      <w:r>
        <w:t xml:space="preserve">Exact SG/FV Jacobians validate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w:t>
      </w:r>
    </w:p>
    <w:p>
      <w:pPr>
        <w:pStyle w:val="ListBullet"/>
      </w:pPr>
      <w:r>
        <w:t>Negative-</w:t>
      </w:r>
      <m:oMath xmlns:a="http://schemas.openxmlformats.org/drawingml/2006/main" xmlns:pic="http://schemas.openxmlformats.org/drawingml/2006/picture">
        <m:sSub>
          <m:e>
            <m:r>
              <m:t>q</m:t>
            </m:r>
          </m:e>
          <m:sub>
            <m:r>
              <m:t>w</m:t>
            </m:r>
          </m:sub>
        </m:sSub>
      </m:oMath>
      <w:r>
        <w:t xml:space="preserve"> Fisher is ill-conditioned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t>).</w:t>
      </w:r>
    </w:p>
    <w:p>
      <w:pPr>
        <w:pStyle w:val="ListBullet"/>
      </w:pPr>
      <w:r>
        <w:t>Blind dual inversion: 1.7% charge error, 68% 95% coverage at 1% noise.</w:t>
      </w:r>
    </w:p>
    <w:p>
      <w:pPr>
        <w:pStyle w:val="ListBullet"/>
      </w:pPr>
      <w:r>
        <w:t>Warm-started solver: 3×10⁻¹² error; 5.3× speedup (forward), 4.0× (reversal).</w:t>
      </w:r>
    </w:p>
    <w:p>
      <w:pPr>
        <w:pStyle w:val="Heading2"/>
      </w:pPr>
      <w:r>
        <w:t>Abstract</w:t>
      </w:r>
    </w:p>
    <w:p>
      <w:r>
        <w:t xml:space="preserve">Inferring nanopore surface charge and geometry from ionic current–voltage data is central to nanofluidic sensing, but repeated Poisson–Nernst–Planck (PNP) solves are too slow for exhaustive identifiability mapping. We present PINO-Nanopore, an exact-boundary, charge-balanced operator for axisymmetric PNP transport over voltage, salinity, wall charge, and radius, used to map regime-dependent conductance identifiability. A 240-state SG/FV benchmark has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 multi-scale radial physics-informed DeepONet (36,880 parameters) and a real-DFT Fourier neural operator (460,488 parameters) enforce reservoir data and charge identity to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The DeepONet reaches relative </w:t>
      </w:r>
      <m:oMath xmlns:a="http://schemas.openxmlformats.org/drawingml/2006/main" xmlns:pic="http://schemas.openxmlformats.org/drawingml/2006/picture">
        <m:sSub>
          <m:e>
            <m:r>
              <m:t>L</m:t>
            </m:r>
          </m:e>
          <m:sub>
            <m:r>
              <m:t>2</m:t>
            </m:r>
          </m:sub>
        </m:sSub>
      </m:oMath>
      <w:r>
        <w:t xml:space="preserve"> errors of 0.00089 for potential and 0.00109 for current (0.0202/0.00136 out of distribution) at 0.072 ms per state. Against a matched direct-concentration loss, charge-balanced outputs lower median net-charge error from 0.238 to 0.207 with 18% lower current error; linearized-Poisson–Boltzmann, POD-RBF, and FNO baselines are reported. Exact float64 SG/FV Jacobians reproduce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xml:space="preserve">), with 1%-noise CRLBs of 0.37% for radius but 86 for charge. Single- and multi-salt inversion leave charge unidentifiable. A 2,700-realization blind inverse study gives a dual current-plus-selectivity median charge error of 1.7% but only 68% 95% coverage at 1% noise; the reversal potential is state dependent (263% weak-charge, 7.3% strong-charge), and a reference-free warm-started controller reproduces the SG/FV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0.165 s, 5.3-fold below a cold solve for Task A (forward solve) and 4.0-fold for Task B (reversal-potential root search). A strong-charge benchmark lowers current error 23-fold.</w:t>
      </w:r>
    </w:p>
    <w:p>
      <w:r>
        <w:rPr>
          <w:b/>
        </w:rPr>
        <w:t>Keywords:</w:t>
      </w:r>
      <w:r>
        <w:t xml:space="preserve"> Poisson–Nernst–Planck; nanopore; neural operator; DeepONet; Fourier neural operator; physics-informed machine learning; inverse problem; identifiability; Donnan selectivity</w:t>
      </w:r>
    </w:p>
    <w:p>
      <w:pPr>
        <w:pStyle w:val="Heading2"/>
      </w:pPr>
      <w:r>
        <w:t>CPC Program Summary</w:t>
      </w:r>
    </w:p>
    <w:p>
      <w:r>
        <w:rPr>
          <w:b/>
        </w:rPr>
        <w:t>Program title:</w:t>
      </w:r>
      <w:r>
        <w:t xml:space="preserve"> PINO-Nanopore</w:t>
      </w:r>
    </w:p>
    <w:p>
      <w:r>
        <w:rPr>
          <w:b/>
        </w:rPr>
        <w:t>CPC Library link to program files:</w:t>
      </w:r>
      <w:r>
        <w:t xml:space="preserve"> To be added by the CPC Technical Editor</w:t>
      </w:r>
    </w:p>
    <w:p>
      <w:r>
        <w:rPr>
          <w:b/>
        </w:rPr>
        <w:t>Developer's repository link:</w:t>
      </w:r>
      <w:r>
        <w:t xml:space="preserve"> https://github.com/Javad-Alizargar/nanopore-pino-surrogate (permanent archive: https://doi.org/10.5281/zenodo.23487404; interactive portal: https://pino.statwhy.com/)</w:t>
      </w:r>
    </w:p>
    <w:p>
      <w:r>
        <w:rPr>
          <w:b/>
        </w:rPr>
        <w:t>Code Ocean capsule:</w:t>
      </w:r>
      <w:r>
        <w:t xml:space="preserve"> Not applicable (standalone browser ONNX and Python package included)</w:t>
      </w:r>
    </w:p>
    <w:p>
      <w:r>
        <w:rPr>
          <w:b/>
        </w:rPr>
        <w:t>Licensing provisions:</w:t>
      </w:r>
      <w:r>
        <w:t xml:space="preserve"> MIT License (MIT)</w:t>
      </w:r>
    </w:p>
    <w:p>
      <w:r>
        <w:rPr>
          <w:b/>
        </w:rPr>
        <w:t>Programming language:</w:t>
      </w:r>
      <w:r>
        <w:t xml:space="preserve"> Python 3.10+ (tested on 3.14); JavaScript ES6</w:t>
      </w:r>
    </w:p>
    <w:p>
      <w:r>
        <w:rPr>
          <w:b/>
        </w:rPr>
        <w:t>Supplementary material:</w:t>
      </w:r>
      <w:r>
        <w:t xml:space="preserve"> Supplementary Materials PDF/DOCX (Supplementary Sections S0–S10 and Supplementary Tables S1–S22)</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wall-charge Donnan enrichment enter the current in a correlated way.</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The operator is then used as a computational instrument: its Fisher information is validated against exact float64 finite-difference Jacobians of the reference solver, and the resulting identifiability map separates radius from wall charge and identifies the near-wall Donnan selectivity observable that breaks the conductance degeneracy. Models are exported to ONNX and served by a static browser simulator (JavaScript) with a live reference solve and a Gradio application.</w:t>
      </w:r>
    </w:p>
    <w:p>
      <w:r>
        <w:rPr>
          <w:b/>
        </w:rPr>
        <w:t>Additional comments including 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3–8 nm radius; extrapolation beyond these ranges is not certified. The package includes a dual-engine browser simulator that can switch between the operator and an in-browser SG/FV solve. It was developed on an Apple M1 (arm64) with macOS 14.1, 8 GB RAM, and one CPU core (no GPU required); the dependencies support Linux, Windows, and x86-64 or arm64 systems with Python 3.10+ and a modern browser. The repository README documents installation, file layout, and execution, and the </w:t>
      </w:r>
      <w:r>
        <w:rPr>
          <w:rFonts w:ascii="Consolas" w:hAnsi="Consolas"/>
          <w:sz w:val="19"/>
        </w:rPr>
        <w:t>test_run/</w:t>
      </w:r>
      <w:r>
        <w:t xml:space="preserve"> directory provides a self-contained sample input and expected output for a rapid CPC verification run.</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 The Stage-11 constraint benchmark (five schemes, three seeds), exact SG/FV Jacobian validation, and Stage-12 diagnostics add about five minutes; the Stage-18 inverse, baseline, and strong-charge studies add about 35 minutes on one CPU. The CPC test case in </w:t>
      </w:r>
      <w:r>
        <w:rPr>
          <w:rFonts w:ascii="Consolas" w:hAnsi="Consolas"/>
          <w:sz w:val="19"/>
        </w:rPr>
        <w:t>scripts/run_cpc_test_case.py</w:t>
      </w:r>
      <w:r>
        <w:t xml:space="preserve"> completes in under one second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molecular-scale charge and geometry into measurable ionic currents, underpinning single-molecule sensing and nucleic-acid sequencing prospects [1–6]. In confined nanoscale geometries, ion transport departs from bulk conductance due to surface-charge-governed transport at low salt concentrations [7], electrostatic screening when the Debye length approaches the channel dimension [8], interfacial electrokinetic coupling [9], ion-transport mechanisms specific to nanofluidic channels [10], and structure-dependent transport mechanisms [11].</w:t>
      </w:r>
    </w:p>
    <w:p>
      <w:r>
        <w:t>Across nanofluidic devices, ionic transport, selectivity, and current rectification are modulated by applied gate or axial potentials [12], salt concentration and surface charge [13], conical pore geometry and electrostatic potential jumps [14], surface-charge patterning [15], and coupled effects of pore diameter, surface-charge density, and ionic strength [16], while the Poisson–Nernst–Planck (PNP) system provides a widely used continuum framework for modeling and numerically solving ion-channel and nanopore transport [17–19].</w:t>
      </w:r>
    </w:p>
    <w:p>
      <w:r>
        <w:t>In narrow channels, electrokinetic flow with overlapped electrical double layers [20], double-layer-enhanced ion migration and water dissociation [21], surface charge regulation [22], and electroosmotic solute dispersion [23] further modify nanoscale transport, while related ion-transport and ion-mobility physics underlie fluidic iontronic computing devices [24] and electrolyte conductivity in charged nanochannels [25].</w:t>
      </w:r>
    </w:p>
    <w:p>
      <w:r>
        <w:t>Relating current–voltage behavior to surface charge and channel geometry is therefore a central modeling problem in nanofluidics [7, 8]. In charged channels, the measured conductance reflects geometric confinement and surface-charge-governed ion accumulation [13], with electrostatic screening becoming important at low salt concentration [22], while rectification in conical or charge-patterned pores depends jointly on pore-end asymmetry [14] and surface-charge distribution [15]. Separating the two from conductance alone remains an open experimental and theoretical challenge, and the usual remedy—fitting many curves with repeated PNP solves—is slow and statistically opaque. Three concrete uses follow for a fast, validated operator: pre-experiment protocol design, in which bias and salinity combinations are chosen to maximize the Fisher information for the parameters of interest; rapid design sweeps of radius, charge, and operating point; and real-time digital-twin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were introduced for semiconductor carrier transport [26]. Conservative finite-volume formulations, including the Scharfetter–Gummel box method [27], provide a stable discretization framework for drift–diffusion device equations.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[28–30] and neural trial-function formulations [31] embed differential equation constraints into the training loss to reduce reliance on labeled solution data, but standard PINNs are typically trained for one parameter set at a time and are sensitive to gradient-flow pathologies and optimization failure modes [32, 33]. Hard-constraint and boundary-enforcing formulations impose initial or boundary conditions strictly across benchmark PDE problems [34], wave equations [35], airflow-field reconstruction [36], linear free-surface waves [37], nonlinear consolidation [38], variational Dirichlet benchmarks [39], and microseismic source imaging [40], while domain-decomposed variants such as XPINNs enable space–time decomposition on complex geometries [41]. Enriched physics-informed neural networks have been developed for dynamic Poisson–Nernst–Planck systems [42], while related physics-informed and operator-learning surrogates have been applied to thermal charring materials [43], compressible flows with CF-DeepONet [44], non-Fourier heat conduction with T-phPINN [45], and lithium-ion battery health prediction [46]. A previously reported fixed-state discontinuous-Galerkin DA-PINN for nanopore transport (COMPHY-D-26-00857)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supported by infinite-dimensional approximation error estimates [48], physics-informed DeepONet formulations for parametric PDEs [49], backpropagation-free and layer-interaction training variants [50, 51], theoretical universality analyses for operator learning [52], and architectural comparisons of DeepONet variants [53]. In parallel, Fourier neural operators (FNOs) have been extended to general geometries via XFNO [54] and Gabor-filtered spectral layers [55], as well as decomposed large-scale parametric PDEs with D-FNO [56] and physics-informed Fourier neural operator formulations [57, 58]. Neural Green's operators provide an additional route to parametric PDE solution by learning Green's functions [59], while spatio-spectral neural operators combine spatial and spectral feature learning [60].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PINO-Nanopore, a validated computational-physics software instrument: a verified 240-state four-dimensional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exact-reservoir charge-balanced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parameter-conditioned backbones (multi-scale radial PI-DeepONet, 36,880 parameters; real-DFT FNO, 460,488 parameters) trained with three seeds each, and a browser and Gradio deployment with 0.072 ms ONNX inference. A five-way benchmark, including a direct-concentration model retrained with a matched field loss, shows that charge-balanced outputs lower median net-charge error from 0.238 to 0.207 while keeping current error 18% lower; the linear projection is statistically tied on net charge but leaves a finite charge-identity mismatch, whereas the hyperbolic map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identity without a Softplus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384-state study bound the design: the radial basis lowers the wall-gradient error by about 7% without a bulk-accuracy advantage, in-distribution error scales as </w:t>
      </w:r>
      <m:oMath xmlns:a="http://schemas.openxmlformats.org/drawingml/2006/main" xmlns:pic="http://schemas.openxmlformats.org/drawingml/2006/picture">
        <m:sSup>
          <m:e>
            <m:r>
              <m:t>N</m:t>
            </m:r>
          </m:e>
          <m:sup>
            <m:r>
              <m:rPr>
                <m:sty m:val="p"/>
              </m:rPr>
              <m:t>−</m:t>
            </m:r>
            <m:r>
              <m:t>0.55</m:t>
            </m:r>
          </m:sup>
        </m:sSup>
      </m:oMath>
      <w:r>
        <w:t xml:space="preserve">, and out-of-distribution error is nearly data-insensitive (exponent 0.13). Second, we use the operator to resolve the identifiability question that motivated it. Its conductance sensitivities agree with exact float64 SG/FV finite-difference Jacobians to </w:t>
      </w:r>
      <m:oMath xmlns:a="http://schemas.openxmlformats.org/drawingml/2006/main" xmlns:pic="http://schemas.openxmlformats.org/drawingml/2006/picture">
        <m:r>
          <m:t>1.1</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w:t>
      </w:r>
      <m:oMath xmlns:a="http://schemas.openxmlformats.org/drawingml/2006/main" xmlns:pic="http://schemas.openxmlformats.org/drawingml/2006/picture">
        <m:r>
          <m:t>99.1</m:t>
        </m:r>
      </m:oMath>
      <w:r>
        <w:t xml:space="preserve"> above </w:t>
      </w:r>
      <m:oMath xmlns:a="http://schemas.openxmlformats.org/drawingml/2006/main" xmlns:pic="http://schemas.openxmlformats.org/drawingml/2006/picture">
        <m:sSup>
          <m:e>
            <m:r>
              <m:t>10</m:t>
            </m:r>
          </m:e>
          <m:sup>
            <m:r>
              <m:t>8</m:t>
            </m:r>
          </m:sup>
        </m:sSup>
      </m:oMath>
      <w:r>
        <w:t>), with 1%-noise CRLBs of 0.37% for radius but 86 for charge. Single- and multi-salt current–voltage protocols leave charge unidentifiable at 1% noise, whereas a blind Stage-20 dual current-plus-selectivity protocol reaches 1.7% median charge error and 0.17% radius error, but with only 68% 95% coverage at 1% noise because a roughly 2% surrogate bias floor remains. A strong-charge benchmark lowers current error 23-fold relative to the Ohmic bulk approximation, without claiming that single-salt conductance alone identifies charge. Finally, a spatial and parametric decomposition of the out-of-distribution error shows that the residual error is largest per unit reference in the wall EDL and at the reservoir transitions, yet it cancels in the cross-sectionally integrated current, which stays below 0.23%.</w:t>
      </w:r>
    </w:p>
    <w:p>
      <w:r>
        <w:t>The remainder of the paper describes the model and reference solver (Section 2), reports accuracy, ablation, timing, deployment, and inversion results (Section 3), and discusses scope and limitations (Section 4). This manuscript is submitted as a Computer Programs in Physics (CPiP) contribution: PINO-Nanopore is designed not merely as a fast forward surrogate, but as a reusable protocol-design instrument that enables experimentalists to determine which measurements can identify which nanopore parameters before an experiment is built.</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R</m:t>
                </m:r>
              </m:e>
              <m:sub>
                <m:r>
                  <m:t>g</m:t>
                </m:r>
              </m:sub>
            </m:sSub>
            <m:r>
              <m:t>T</m:t>
            </m:r>
            <m:r>
              <m:rPr>
                <m:sty m:val="p"/>
              </m:rPr>
              <m:t>/</m:t>
            </m:r>
            <m:r>
              <m:rPr>
                <m:sty m:val="p"/>
              </m:rPr>
              <m:t>(</m:t>
            </m:r>
            <m:r>
              <m:t>2</m:t>
            </m:r>
            <m:sSup>
              <m:e>
                <m:r>
                  <m:t>F</m:t>
                </m:r>
              </m:e>
              <m:sup>
                <m:r>
                  <m:t>2</m:t>
                </m:r>
              </m:sup>
            </m:sSup>
            <m:sSub>
              <m:e>
                <m:r>
                  <m:t>C</m:t>
                </m:r>
              </m:e>
              <m:sub>
                <m:r>
                  <m:t>0</m:t>
                </m:r>
              </m:sub>
            </m:sSub>
            <m:r>
              <m:rPr>
                <m:sty m:val="p"/>
              </m:rPr>
              <m:t>)</m:t>
            </m:r>
          </m:e>
        </m:rad>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2</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r>
          <m:rPr>
            <m:sty m:val="p"/>
          </m:rPr>
          <m:t>−</m:t>
        </m:r>
        <m:r>
          <m:t>50</m:t>
        </m:r>
        <m:r>
          <m:rPr>
            <m:sty m:val="p"/>
          </m:rPr>
          <m:t>≤</m:t>
        </m:r>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w:t>
      </w:r>
      <m:oMath xmlns:a="http://schemas.openxmlformats.org/drawingml/2006/main" xmlns:pic="http://schemas.openxmlformats.org/drawingml/2006/picture">
        <m:r>
          <m:t>3</m:t>
        </m:r>
        <m:r>
          <m:rPr>
            <m:sty m:val="p"/>
          </m:rPr>
          <m:t>≤</m:t>
        </m:r>
        <m:r>
          <m:t>R</m:t>
        </m:r>
        <m:r>
          <m:rPr>
            <m:sty m:val="p"/>
          </m:rPr>
          <m:t>≤</m:t>
        </m:r>
        <m:r>
          <m:t>8</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adapts the node-centered finite-volume Scharfetter–Gummel box discretization developed and analyzed for stationary semiconductor drift–diffusion equations [26, 27] to axisymmetric Nernst–Planck currents with a conservative Poisson update.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d>
          <m:dPr>
            <m:begChr m:val="("/>
            <m:sepChr m:val=""/>
            <m:endChr m:val=")"/>
            <m:grow/>
          </m:dPr>
          <m:e>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e>
        </m:d>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0</m:t>
        </m:r>
        <m:r>
          <m:rPr>
            <m:sty m:val="p"/>
          </m:rPr>
          <m:t>≤</m:t>
        </m:r>
        <m:r>
          <m:t>z</m:t>
        </m:r>
        <m:r>
          <m:rPr>
            <m:sty m:val="p"/>
          </m:rPr>
          <m:t>≤</m:t>
        </m:r>
        <m:r>
          <m:t>1</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the interval from </w:t>
      </w:r>
      <m:oMath xmlns:a="http://schemas.openxmlformats.org/drawingml/2006/main" xmlns:pic="http://schemas.openxmlformats.org/drawingml/2006/picture">
        <m:r>
          <m:rPr>
            <m:sty m:val="p"/>
          </m:rPr>
          <m:t>−</m:t>
        </m:r>
        <m:r>
          <m:t>15</m:t>
        </m:r>
      </m:oMath>
      <w:r>
        <w:t xml:space="preserve"> to </w:t>
      </w:r>
      <m:oMath xmlns:a="http://schemas.openxmlformats.org/drawingml/2006/main" xmlns:pic="http://schemas.openxmlformats.org/drawingml/2006/picture">
        <m:r>
          <m:t>15</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identities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and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r>
          <m:rPr>
            <m:sty m:val="p"/>
          </m:rPr>
          <m:t>Σ</m:t>
        </m:r>
        <m:sSub>
          <m:e>
            <m:r>
              <m:t>c</m:t>
            </m:r>
          </m:e>
          <m:sub>
            <m:r>
              <m:t>θ</m:t>
            </m:r>
          </m:sub>
        </m:sSub>
        <m:r>
          <m:rPr>
            <m:sty m:val="p"/>
          </m:rPr>
          <m:t>&gt;</m:t>
        </m:r>
        <m:r>
          <m:t>0</m:t>
        </m:r>
      </m:oMath>
      <w:r>
        <w:t xml:space="preserve"> hold exactly. Thus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the positive geometric salt scale, while the capital </w:t>
      </w:r>
      <m:oMath xmlns:a="http://schemas.openxmlformats.org/drawingml/2006/main" xmlns:pic="http://schemas.openxmlformats.org/drawingml/2006/picture">
        <m:r>
          <m:t>S</m:t>
        </m:r>
      </m:oMath>
      <w:r>
        <w:t xml:space="preserve"> denotes the near-wall selectivity observable. In the implementation the residual of the charge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structural construction should be distinguished from soft penalty-based boundary enforcement in physics-informed neural networks, which has been compared with hard or exact boundary imposition across benchmark PDEs [34, 39], wave propagation [35, 37], airflow reconstruction [36], nonlinear consolidation [38], and microseismic imaging [40].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A cross-reference index (Supplementary Table S7) maps every figure, table, and archived artifact to its source file.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S8 lists the deployment and parity checks, including the browser-bundle size, the JavaScript-versus-reference agreement, and the DOM test results.</w:t>
      </w:r>
    </w:p>
    <w:p>
      <w:r>
        <w:t xml:space="preserve">To separate a measurement limitation from a surrogate limitation, two inverse experiments are used. The Stage-18 study is a controlled identifiability experiment over 15 held-out interpolation states selected to span the Debye-overlap range. Current–voltage observations are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Protocol 1 (single-salt) uses the state's own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Protocol 3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For each protocol, 20 independent noise realizations at 0.2%, 1%, and 2% relative noise are inverted on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to test discretization nesting. This grid search is operator-only and uses a two-dimensional look-up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w:t>
      </w:r>
    </w:p>
    <w:p>
      <w:r>
        <w:t xml:space="preserve">The Stage-20 study instead removes the truth from every estimator and works in the invertible pair </w:t>
      </w:r>
      <m:oMath xmlns:a="http://schemas.openxmlformats.org/drawingml/2006/main" xmlns:pic="http://schemas.openxmlformats.org/drawingml/2006/picture">
        <m:r>
          <m:t>m</m:t>
        </m:r>
        <m:r>
          <m:rPr>
            <m:sty m:val="p"/>
          </m:rPr>
          <m:t>=</m:t>
        </m:r>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where </w:t>
      </w:r>
      <m:oMath xmlns:a="http://schemas.openxmlformats.org/drawingml/2006/main" xmlns:pic="http://schemas.openxmlformats.org/drawingml/2006/picture">
        <m:r>
          <m:t>σ</m:t>
        </m:r>
      </m:oMath>
      <w:r>
        <w:t xml:space="preserve"> is the wall charge density in mC m</w:t>
      </w:r>
      <m:oMath xmlns:a="http://schemas.openxmlformats.org/drawingml/2006/main" xmlns:pic="http://schemas.openxmlformats.org/drawingml/2006/picture">
        <m:sSup>
          <m:e>
            <m:r>
              <m:t>​</m:t>
            </m:r>
          </m:e>
          <m:sup>
            <m:r>
              <m:rPr>
                <m:sty m:val="p"/>
              </m:rPr>
              <m:t>−</m:t>
            </m:r>
            <m:r>
              <m:t>2</m:t>
            </m:r>
          </m:sup>
        </m:sSup>
      </m:oMath>
      <w:r>
        <w:t xml:space="preserve">; the charge </w:t>
      </w:r>
      <m:oMath xmlns:a="http://schemas.openxmlformats.org/drawingml/2006/main" xmlns:pic="http://schemas.openxmlformats.org/drawingml/2006/picture">
        <m:sSub>
          <m:e>
            <m:r>
              <m:t>q</m:t>
            </m:r>
          </m:e>
          <m:sub>
            <m:r>
              <m:t>w</m:t>
            </m:r>
          </m:sub>
        </m:sSub>
      </m:oMath>
      <w:r>
        <w:t xml:space="preserve"> is recovered algebraically from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r>
          <m:t>R</m:t>
        </m:r>
      </m:oMath>
      <w:r>
        <w:t xml:space="preserve">.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Each estimator is a Gauss–Newton iteration with a refreshed Jacobian, a step clip of 0.5 in log-parameters, and a matched stopping rule of </w:t>
      </w:r>
      <m:oMath xmlns:a="http://schemas.openxmlformats.org/drawingml/2006/main" xmlns:pic="http://schemas.openxmlformats.org/drawingml/2006/picture">
        <m:r>
          <m:rPr>
            <m:sty m:val="p"/>
          </m:rPr>
          <m:t>∥</m:t>
        </m:r>
        <m:r>
          <m:rPr>
            <m:sty m:val="p"/>
          </m:rPr>
          <m:t>Δ</m:t>
        </m:r>
        <m:r>
          <m:t>m</m:t>
        </m:r>
        <m:sSub>
          <m:e>
            <m:r>
              <m:rPr>
                <m:sty m:val="p"/>
              </m:rPr>
              <m:t>∥</m:t>
            </m:r>
          </m:e>
          <m:sub>
            <m:r>
              <m:rPr>
                <m:sty m:val="p"/>
              </m:rPr>
              <m:t>∞</m:t>
            </m:r>
          </m:sub>
        </m:sSub>
        <m:r>
          <m:rPr>
            <m:sty m:val="p"/>
          </m:rPr>
          <m:t>&lt;</m:t>
        </m:r>
        <m:sSup>
          <m:e>
            <m:r>
              <m:t>10</m:t>
            </m:r>
          </m:e>
          <m:sup>
            <m:r>
              <m:rPr>
                <m:sty m:val="p"/>
              </m:rPr>
              <m:t>−</m:t>
            </m:r>
            <m:r>
              <m:t>3</m:t>
            </m:r>
          </m:sup>
        </m:sSup>
      </m:oMath>
      <w:r>
        <w:t xml:space="preserve"> or at most six iterations; boundary hits and non-converged realizations are recorded. Estimator A is surrogate-only, B is warm-started SG/FV, and C is a two-start cold SG/FV baseline. The final covariance is evaluated at the converged estimate and propagated separately to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through </w:t>
      </w:r>
      <m:oMath xmlns:a="http://schemas.openxmlformats.org/drawingml/2006/main" xmlns:pic="http://schemas.openxmlformats.org/drawingml/2006/picture">
        <m:r>
          <m:rPr>
            <m:sty m:val="p"/>
          </m:rPr>
          <m:t>S</m:t>
        </m:r>
        <m:r>
          <m:rPr>
            <m:sty m:val="p"/>
          </m:rPr>
          <m:t>E</m:t>
        </m:r>
        <m:r>
          <m:rPr>
            <m:sty m:val="p"/>
          </m:rPr>
          <m:t>(</m:t>
        </m:r>
        <m:r>
          <m:rPr>
            <m:sty m:val="p"/>
          </m:rPr>
          <m:t>ln</m:t>
        </m:r>
        <m:r>
          <m:t>R</m:t>
        </m:r>
        <m:r>
          <m:rPr>
            <m:sty m:val="p"/>
          </m:rPr>
          <m:t>)</m:t>
        </m:r>
        <m:r>
          <m:rPr>
            <m:sty m:val="p"/>
          </m:rPr>
          <m:t>=</m:t>
        </m:r>
        <m:rad>
          <m:radPr>
            <m:degHide m:val="on"/>
          </m:radPr>
          <m:deg/>
          <m:e>
            <m:sSub>
              <m:e>
                <m:r>
                  <m:t>C</m:t>
                </m:r>
              </m:e>
              <m:sub>
                <m:r>
                  <m:t>00</m:t>
                </m:r>
              </m:sub>
            </m:sSub>
          </m:e>
        </m:rad>
      </m:oMath>
      <w:r>
        <w:t xml:space="preserve">,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r>
          <m:t>σ</m:t>
        </m:r>
        <m:r>
          <m:rPr>
            <m:sty m:val="p"/>
          </m:rPr>
          <m:t>|</m:t>
        </m:r>
        <m:r>
          <m:rPr>
            <m:sty m:val="p"/>
          </m:rPr>
          <m:t>)</m:t>
        </m:r>
        <m:r>
          <m:rPr>
            <m:sty m:val="p"/>
          </m:rPr>
          <m:t>=</m:t>
        </m:r>
        <m:rad>
          <m:radPr>
            <m:degHide m:val="on"/>
          </m:radPr>
          <m:deg/>
          <m:e>
            <m:sSub>
              <m:e>
                <m:r>
                  <m:t>C</m:t>
                </m:r>
              </m:e>
              <m:sub>
                <m:r>
                  <m:t>11</m:t>
                </m:r>
              </m:sub>
            </m:sSub>
          </m:e>
        </m:rad>
      </m:oMath>
      <w:r>
        <w:t xml:space="preserve">, and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sSub>
          <m:e>
            <m:r>
              <m:t>q</m:t>
            </m:r>
          </m:e>
          <m:sub>
            <m:r>
              <m:t>w</m:t>
            </m:r>
          </m:sub>
        </m:sSub>
        <m:r>
          <m:rPr>
            <m:sty m:val="p"/>
          </m:rPr>
          <m:t>|</m:t>
        </m:r>
        <m:r>
          <m:rPr>
            <m:sty m:val="p"/>
          </m:rPr>
          <m:t>)</m:t>
        </m:r>
        <m:r>
          <m:rPr>
            <m:sty m:val="p"/>
          </m:rPr>
          <m:t>=</m:t>
        </m:r>
        <m:rad>
          <m:radPr>
            <m:degHide m:val="on"/>
          </m:radPr>
          <m:deg/>
          <m:e>
            <m:sSub>
              <m:e>
                <m:r>
                  <m:t>C</m:t>
                </m:r>
              </m:e>
              <m:sub>
                <m:r>
                  <m:t>00</m:t>
                </m:r>
              </m:sub>
            </m:sSub>
            <m:r>
              <m:rPr>
                <m:sty m:val="p"/>
              </m:rPr>
              <m:t>+</m:t>
            </m:r>
            <m:r>
              <m:t>2</m:t>
            </m:r>
            <m:sSub>
              <m:e>
                <m:r>
                  <m:t>C</m:t>
                </m:r>
              </m:e>
              <m:sub>
                <m:r>
                  <m:t>01</m:t>
                </m:r>
              </m:sub>
            </m:sSub>
            <m:r>
              <m:rPr>
                <m:sty m:val="p"/>
              </m:rPr>
              <m:t>+</m:t>
            </m:r>
            <m:sSub>
              <m:e>
                <m:r>
                  <m:t>C</m:t>
                </m:r>
              </m:e>
              <m:sub>
                <m:r>
                  <m:t>11</m:t>
                </m:r>
              </m:sub>
            </m:sSub>
          </m:e>
        </m:rad>
      </m:oMath>
      <w:r>
        <w:t>. The Stage-18 grid and the Stage-20 refreshed-Jacobian estimates therefore answer the same physical question with different estimators; we report both and do not pool them.</w:t>
      </w:r>
    </w:p>
    <w:p>
      <w:r>
        <w:t xml:space="preserve">The Fisher analysis uses a </w:t>
      </w:r>
      <m:oMath xmlns:a="http://schemas.openxmlformats.org/drawingml/2006/main" xmlns:pic="http://schemas.openxmlformats.org/drawingml/2006/picture">
        <m:r>
          <m:t>18</m:t>
        </m:r>
        <m:r>
          <m:rPr>
            <m:sty m:val="p"/>
          </m:rPr>
          <m:t>×</m:t>
        </m:r>
        <m:r>
          <m:t>18</m:t>
        </m:r>
      </m:oMath>
      <w:r>
        <w:t xml:space="preserve"> grid over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and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at </w:t>
      </w:r>
      <m:oMath xmlns:a="http://schemas.openxmlformats.org/drawingml/2006/main" xmlns:pic="http://schemas.openxmlformats.org/drawingml/2006/picture">
        <m:r>
          <m:t>R</m:t>
        </m:r>
        <m:r>
          <m:rPr>
            <m:sty m:val="p"/>
          </m:rPr>
          <m:t>=</m:t>
        </m:r>
        <m:r>
          <m:t>5</m:t>
        </m:r>
      </m:oMath>
      <w:r>
        <w:t xml:space="preserve"> nm. For each point we form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from four non-zero biases, whiten by the 1% relative noise, and evaluate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and the Cramér–Rao lower bounds (CRLBs)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is excluded because it carries no current information. An independent </w:t>
      </w:r>
      <m:oMath xmlns:a="http://schemas.openxmlformats.org/drawingml/2006/main" xmlns:pic="http://schemas.openxmlformats.org/drawingml/2006/picture">
        <m:r>
          <m:t>8</m:t>
        </m:r>
        <m:r>
          <m:rPr>
            <m:sty m:val="p"/>
          </m:rPr>
          <m:t>×</m:t>
        </m:r>
        <m:r>
          <m:t>8</m:t>
        </m:r>
      </m:oMath>
      <w:r>
        <w:t xml:space="preserve"> exact SG/FV check compares the same sensitivities and the single-salt Fisher scale with the operator; a five-state SG/FV-in-the-loop refinement tests the inverse ranking under the exact forward model. Results are reported in Section 3.9 and Supplementary Table S9, and visualized in Figures 3F and 6C,D.</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898774"/>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898774"/>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Structural constraints of the exact-reservoir formulation: the output ansatz enforces reservoir potential and concentration Dirichlet values, strict ion positivity, and the algebraic charge identity exactly, while zero wall ion flux, the wall surface-charge condition, and interior PDE residuals are enforced through the physics loss. (D) The two parameter-conditioned backbones: a DeepONet with a multi-scale radial trunk and a 2D Fourier neural operator, both trained with the same data and physics objective.</w:t>
      </w:r>
    </w:p>
    <w:p>
      <w:pPr>
        <w:pStyle w:val="Heading3"/>
      </w:pPr>
      <w:r>
        <w:t>3.2 Field reconstruction and selectivity observable validation</w:t>
      </w:r>
    </w:p>
    <w:p>
      <w:r>
        <w:t xml:space="preserve">Figure 2 resolves the held-out benchmark state (index 144) panel by panel. The operator reconstructs the potential </w:t>
      </w:r>
      <m:oMath xmlns:a="http://schemas.openxmlformats.org/drawingml/2006/main" xmlns:pic="http://schemas.openxmlformats.org/drawingml/2006/picture">
        <m:sSub>
          <m:e>
            <m:r>
              <m:t>ψ</m:t>
            </m:r>
          </m:e>
          <m:sub>
            <m:r>
              <m:t>θ</m:t>
            </m:r>
          </m:sub>
        </m:sSub>
      </m:oMath>
      <w:r>
        <w:t xml:space="preserve"> (Figure 2A) and cation concentration </w:t>
      </w:r>
      <m:oMath xmlns:a="http://schemas.openxmlformats.org/drawingml/2006/main" xmlns:pic="http://schemas.openxmlformats.org/drawingml/2006/picture">
        <m:sSubSup>
          <m:e>
            <m:r>
              <m:t>c</m:t>
            </m:r>
          </m:e>
          <m:sub>
            <m:r>
              <m:rPr>
                <m:sty m:val="p"/>
              </m:rPr>
              <m:t>+</m:t>
            </m:r>
          </m:sub>
          <m:sup>
            <m:r>
              <m:t>θ</m:t>
            </m:r>
          </m:sup>
        </m:sSubSup>
      </m:oMath>
      <w:r>
        <w:t xml:space="preserve"> (Figure 2B) smoothly and symmetrically about the axis, with the potential dropping along the pore and the cation layer accumulating against the negatively charged wall. The net charge </w:t>
      </w:r>
      <m:oMath xmlns:a="http://schemas.openxmlformats.org/drawingml/2006/main" xmlns:pic="http://schemas.openxmlformats.org/drawingml/2006/picture">
        <m:sSub>
          <m:e>
            <m:r>
              <m:t>ρ</m:t>
            </m:r>
          </m:e>
          <m:sub>
            <m:r>
              <m:t>θ</m:t>
            </m:r>
          </m:sub>
        </m:sSub>
      </m:oMath>
      <w:r>
        <w:t xml:space="preserve"> (Figure 2C) is depleted in the core and enriched in the wall layer. The absolute errors in potential and net charge (Figure 2D,E) remain localized to the reservoir transitions and the wall layer rather than accumulating in the interior, and the axial current profile (Figure 2F) follows the reference to within the line width over most of the pore. For reference, a state-specialized DA-PINN reaches 0.000382 potential and 0.00102 current relative </w:t>
      </w:r>
      <m:oMath xmlns:a="http://schemas.openxmlformats.org/drawingml/2006/main" xmlns:pic="http://schemas.openxmlformats.org/drawingml/2006/picture">
        <m:sSub>
          <m:e>
            <m:r>
              <m:t>L</m:t>
            </m:r>
          </m:e>
          <m:sub>
            <m:r>
              <m:t>2</m:t>
            </m:r>
          </m:sub>
        </m:sSub>
      </m:oMath>
      <w:r>
        <w:t xml:space="preserve"> error on this state after roughly 500 s of single-state retraining (Supplementary Table S10); on this unseen state the operator's errors (0.0001485 and 0.0005587) are 2.57-fold and 1.83-fold lower without per-state retraining.</w:t>
      </w:r>
    </w:p>
    <w:p>
      <w:r>
        <w:t xml:space="preserve">The same fields carry the observable used for identifiability. At the 15 inversion operating points and three salt concentrations, the operator reproduces the exact SG/FV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for protocol design, not only the current.</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xml:space="preserve"> (mean absolute current error 0.08031 pA). The FNO attains 0.005495, 0.001641, 0.0931, and 0.008511 (0.6746 pA), so the DeepONet is 6.16-fold, 2.26-fold, 1.13-fold and 7.79-fold more accurate, respectively.</w:t>
      </w:r>
    </w:p>
    <w:p>
      <w:r>
        <w:t xml:space="preserve">The net-charge metric is the most sensitive to the output parameterization. Naive direct concentration outputs give interp-test </w:t>
      </w:r>
      <m:oMath xmlns:a="http://schemas.openxmlformats.org/drawingml/2006/main" xmlns:pic="http://schemas.openxmlformats.org/drawingml/2006/picture">
        <m:r>
          <m:t>ρ</m:t>
        </m:r>
      </m:oMath>
      <w:r>
        <w:t xml:space="preserve"> errors of 0.7116 (DeepONet) and 0.9578 (FNO); the charge-balanced parameterization reduces them to 0.08248 and 0.0931, i.e. 8.63-fold and 10.29-fold. That large contrast, however, partly reflects an optimization pathology of the naive direct loss. When the direct model is retrained with the same field-normalized loss used for the other schemes, its three-seed net-charge error falls to </w:t>
      </w:r>
      <m:oMath xmlns:a="http://schemas.openxmlformats.org/drawingml/2006/main" xmlns:pic="http://schemas.openxmlformats.org/drawingml/2006/picture">
        <m:r>
          <m:t>0.238</m:t>
        </m:r>
        <m:r>
          <m:rPr>
            <m:sty m:val="p"/>
          </m:rPr>
          <m:t>±</m:t>
        </m:r>
        <m:r>
          <m:t>0.057</m:t>
        </m:r>
      </m:oMath>
      <w:r>
        <w:t xml:space="preserve">, versus </w:t>
      </w:r>
      <m:oMath xmlns:a="http://schemas.openxmlformats.org/drawingml/2006/main" xmlns:pic="http://schemas.openxmlformats.org/drawingml/2006/picture">
        <m:r>
          <m:t>0.207</m:t>
        </m:r>
        <m:r>
          <m:rPr>
            <m:sty m:val="p"/>
          </m:rPr>
          <m:t>±</m:t>
        </m:r>
        <m:r>
          <m:t>0.015</m:t>
        </m:r>
      </m:oMath>
      <w:r>
        <w:t xml:space="preserve"> for the hyperbolic map, and its current error is </w:t>
      </w:r>
      <m:oMath xmlns:a="http://schemas.openxmlformats.org/drawingml/2006/main" xmlns:pic="http://schemas.openxmlformats.org/drawingml/2006/picture">
        <m:r>
          <m:t>0.00514</m:t>
        </m:r>
      </m:oMath>
      <w:r>
        <w:t xml:space="preserve"> versus </w:t>
      </w:r>
      <m:oMath xmlns:a="http://schemas.openxmlformats.org/drawingml/2006/main" xmlns:pic="http://schemas.openxmlformats.org/drawingml/2006/picture">
        <m:r>
          <m:t>0.00417</m:t>
        </m:r>
      </m:oMath>
      <w:r>
        <w:t>; the matched direct model is therefore 15% worse on net charge and 23% worse on current. The four original schemes plus this matched control form the five-way benchmark in Figure 3A,B and Supplementary Table S11. The linear projection is statistically tied with the hyperbolic map on net charge (</w:t>
      </w:r>
      <m:oMath xmlns:a="http://schemas.openxmlformats.org/drawingml/2006/main" xmlns:pic="http://schemas.openxmlformats.org/drawingml/2006/picture">
        <m:r>
          <m:t>0.201</m:t>
        </m:r>
        <m:r>
          <m:rPr>
            <m:sty m:val="p"/>
          </m:rPr>
          <m:t>±</m:t>
        </m:r>
        <m:r>
          <m:t>0.021</m:t>
        </m:r>
      </m:oMath>
      <w:r>
        <w:t>), the soft penalty is worse (</w:t>
      </w:r>
      <m:oMath xmlns:a="http://schemas.openxmlformats.org/drawingml/2006/main" xmlns:pic="http://schemas.openxmlformats.org/drawingml/2006/picture">
        <m:r>
          <m:t>0.411</m:t>
        </m:r>
        <m:r>
          <m:rPr>
            <m:sty m:val="p"/>
          </m:rPr>
          <m:t>±</m:t>
        </m:r>
        <m:r>
          <m:t>0.187</m:t>
        </m:r>
      </m:oMath>
      <w:r>
        <w:t>), and the naive direct model is worst (</w:t>
      </w:r>
      <m:oMath xmlns:a="http://schemas.openxmlformats.org/drawingml/2006/main" xmlns:pic="http://schemas.openxmlformats.org/drawingml/2006/picture">
        <m:r>
          <m:t>0.933</m:t>
        </m:r>
        <m:r>
          <m:rPr>
            <m:sty m:val="p"/>
          </m:rPr>
          <m:t>±</m:t>
        </m:r>
        <m:r>
          <m:t>0.008</m:t>
        </m:r>
      </m:oMath>
      <w:r>
        <w:t xml:space="preserve">). The hyperbolic map is preferred not because it is more accurate than the linear projection, but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projection bias. The linear projection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and its raw reconstruction can become negative when co-ion exclusion is strong (22% of a physical latent grid would be clipped), with a Softplus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the hyperbolic map is parameter-free,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at the same accuracy. Figure 3C,D examines the physics-loss and physics-weight ablations (Supplementary Table S12);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is the Pareto point. Panels E,F report the trunk and Fisher studies discussed in Sections 3.6 and 3.9.</w:t>
      </w:r>
    </w:p>
    <w:p>
      <w:pPr>
        <w:spacing w:before="120" w:after="40"/>
        <w:jc w:val="center"/>
      </w:pPr>
      <w:r>
        <w:drawing>
          <wp:inline xmlns:a="http://schemas.openxmlformats.org/drawingml/2006/main" xmlns:pic="http://schemas.openxmlformats.org/drawingml/2006/picture">
            <wp:extent cx="5852160" cy="3036712"/>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3036712"/>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five constraint schemes on the identical PI-DeepONet backbone, including a direct-concentration model retrained with the matched field loss;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five schemes; the hyperbolic reconstruction and the direct schemes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Noise-whitened single-salt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negative </w:t>
      </w:r>
      <m:oMath xmlns:a="http://schemas.openxmlformats.org/drawingml/2006/main" xmlns:pic="http://schemas.openxmlformats.org/drawingml/2006/picture">
        <m:sSub>
          <m:e>
            <m:r>
              <m:t>q</m:t>
            </m:r>
          </m:e>
          <m:sub>
            <m:r>
              <m:t>w</m:t>
            </m:r>
          </m:sub>
        </m:sSub>
      </m:oMath>
      <w:r>
        <w:rPr>
          <w:sz w:val="18"/>
        </w:rPr>
        <w:t xml:space="preserve"> and </w:t>
      </w:r>
      <m:oMath xmlns:a="http://schemas.openxmlformats.org/drawingml/2006/main" xmlns:pic="http://schemas.openxmlformats.org/drawingml/2006/picture">
        <m:sSub>
          <m:e>
            <m:r>
              <m:t>C</m:t>
            </m:r>
          </m:e>
          <m:sub>
            <m:r>
              <m:t>0</m:t>
            </m:r>
          </m:sub>
        </m:sSub>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white contours mark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xml:space="preserve">. The charge direction is near-null throughout the plane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rPr>
          <w:sz w:val="18"/>
        </w:rPr>
        <w:t>).</w:t>
      </w:r>
    </w:p>
    <w:p>
      <w:r>
        <w:t>A 300-epoch FNO lowers the interp-test potential error to 0.002195 and the current error to 0.003349 but does not change the ranking (Supplementary Table S13).</w:t>
      </w:r>
    </w:p>
    <w:p>
      <w:r>
        <w:t xml:space="preserve">The </w:t>
      </w:r>
      <m:oMath xmlns:a="http://schemas.openxmlformats.org/drawingml/2006/main" xmlns:pic="http://schemas.openxmlformats.org/drawingml/2006/picture">
        <m:r>
          <m:t>18</m:t>
        </m:r>
        <m:r>
          <m:rPr>
            <m:sty m:val="p"/>
          </m:rPr>
          <m:t>×</m:t>
        </m:r>
        <m:r>
          <m:t>18</m:t>
        </m:r>
      </m:oMath>
      <w:r>
        <w:t xml:space="preserve"> Fisher plane in Figure 3F spans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with </w:t>
      </w:r>
      <m:oMath xmlns:a="http://schemas.openxmlformats.org/drawingml/2006/main" xmlns:pic="http://schemas.openxmlformats.org/drawingml/2006/picture">
        <m:r>
          <m:t>99.1</m:t>
        </m:r>
      </m:oMath>
      <w:r>
        <w:t xml:space="preserve"> of the plane above </w:t>
      </w:r>
      <m:oMath xmlns:a="http://schemas.openxmlformats.org/drawingml/2006/main" xmlns:pic="http://schemas.openxmlformats.org/drawingml/2006/picture">
        <m:sSup>
          <m:e>
            <m:r>
              <m:t>10</m:t>
            </m:r>
          </m:e>
          <m:sup>
            <m:r>
              <m:t>8</m:t>
            </m:r>
          </m:sup>
        </m:sSup>
      </m:oMath>
      <w:r>
        <w:t>; the near-null direction is the charge axis at every operating point.</w:t>
      </w:r>
    </w:p>
    <w:p>
      <w:pPr>
        <w:pStyle w:val="Heading3"/>
      </w:pPr>
      <w:r>
        <w:t>3.4 Out-of-distribution behavior</w:t>
      </w:r>
    </w:p>
    <w:p>
      <w:r>
        <w:t xml:space="preserve">The OOD split combines charge/salt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xml:space="preserve"> (0.1077 pA); for the FNO they are 0.02079, 0.01487, 0.2241, and 0.009123 (0.5338 pA). The two are indistinguishable for potential, while the FNO is better for cation concentration (1.43-fold) and net charge (1.64-fold) and the DeepONet is better for current (6.69-fold). Current is far more robust than the pointwise fields because it integrates the flux and benefits from error cancellation; field-level OOD predictions should therefore be interpreted more cautiously than current–voltage predictions.</w:t>
      </w:r>
    </w:p>
    <w:p>
      <w:r>
        <w:t xml:space="preserve">Figure 4A shows the per-state error distributions, Figure 4B resolves the net-charge and current errors against </w:t>
      </w:r>
      <m:oMath xmlns:a="http://schemas.openxmlformats.org/drawingml/2006/main" xmlns:pic="http://schemas.openxmlformats.org/drawingml/2006/picture">
        <m:sSub>
          <m:e>
            <m:r>
              <m:t>λ</m:t>
            </m:r>
          </m:e>
          <m:sub>
            <m:r>
              <m:t>D</m:t>
            </m:r>
          </m:sub>
        </m:sSub>
        <m:r>
          <m:rPr>
            <m:sty m:val="p"/>
          </m:rPr>
          <m:t>/</m:t>
        </m:r>
        <m:r>
          <m:t>R</m:t>
        </m:r>
      </m:oMath>
      <w:r>
        <w:t xml:space="preserve"> with a lower spatial budget, and Figure 4C gives the current parity over all 96 test states (slope unity, </w:t>
      </w:r>
      <m:oMath xmlns:a="http://schemas.openxmlformats.org/drawingml/2006/main" xmlns:pic="http://schemas.openxmlformats.org/drawingml/2006/picture">
        <m:sSup>
          <m:e>
            <m:r>
              <m:t>R</m:t>
            </m:r>
          </m:e>
          <m:sup>
            <m:r>
              <m:t>2</m:t>
            </m:r>
          </m:sup>
        </m:sSup>
        <m:r>
          <m:rPr>
            <m:sty m:val="p"/>
          </m:rPr>
          <m:t>=</m:t>
        </m:r>
        <m:r>
          <m:t>1</m:t>
        </m:r>
      </m:oMath>
      <w:r>
        <w:t xml:space="preserve"> to four decimals, no systematic residual trend). Figure 4B (lower) and Supplementary Table S14 decompose the OOD squared error. Of the total potential error, 51% lies in the pore core, 39% in the wall EDL, and 10% at the reservoir transitions; net charge follows the same pattern (52/39/8%). Per unit reference, however, the wall EDL carries the largest potential error (2.4% versus 2.25% in the core and 1.1% at the transitions) and the transitions carry the largest net-charge error (40%). Combined charge and low-salt extrapolation accounts for 94% of the squared error for both fields, charge-only for about 6%, and narrow radius for 0.2–2%; high-voltage states alone are benign. The current survives because the corner and wall errors cancel: the area-weighted cross-section mean of the potential error is only 1.3% of its RMS, and current continuity integrates the residual flux to 0.12–0.23%.</w:t>
      </w:r>
    </w:p>
    <w:p>
      <w:r>
        <w:t xml:space="preserve">Figure 4D adds a data-scaling study on the 384-state dataset (Supplementary Table S3). Nested subsets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reduce interp-test net-charge error from 0.3927 to 0.1299 and potential error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the out-of-distribution net-charge error changes only from 0.317 to 0.253 (</w:t>
      </w:r>
      <m:oMath xmlns:a="http://schemas.openxmlformats.org/drawingml/2006/main" xmlns:pic="http://schemas.openxmlformats.org/drawingml/2006/picture">
        <m:r>
          <m:t>α</m:t>
        </m:r>
        <m:r>
          <m:rPr>
            <m:sty m:val="p"/>
          </m:rPr>
          <m:t>=</m:t>
        </m:r>
        <m:r>
          <m:t>0.13</m:t>
        </m:r>
      </m:oMath>
      <w:r>
        <w:t>). The training box, not the sample count, is the binding constraint on extrapolation.</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Figure 5 tests the operator as a function rather than a lookup table.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and overlays SG/FV solves; the curves overlap across the full range and order monotonically with radius. Figure 5B shows the near-wall cation concentration versus bulk salt from 10 to 200 mol </w:t>
      </w:r>
      <m:oMath xmlns:a="http://schemas.openxmlformats.org/drawingml/2006/main" xmlns:pic="http://schemas.openxmlformats.org/drawingml/2006/picture">
        <m:sSup>
          <m:e>
            <m:r>
              <m:t>m</m:t>
            </m:r>
          </m:e>
          <m:sup>
            <m:r>
              <m:rPr>
                <m:sty m:val="p"/>
              </m:rPr>
              <m:t>−</m:t>
            </m:r>
            <m:r>
              <m:t>3</m:t>
            </m:r>
          </m:sup>
        </m:sSup>
      </m:oMath>
      <w:r>
        <w:t xml:space="preserve">, and Figure 5C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moving from overlap-dominated to wall-localized as salinity increases. Every curve is an interpolation at a parameter combination that is not a training state.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output parameterization. Reparameterization removes the heavy tail of the direct-charge models (weakest-charge quartile: below 0.15 versus near unit relative error) and the same ordering holds for the FNO (Supplementary Tables S15, S16); because the reconstruction is algebraic, the improvement costs nothing at inference and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w:t>
      </w:r>
    </w:p>
    <w:p>
      <w:pPr>
        <w:pStyle w:val="Heading3"/>
      </w:pPr>
      <w:r>
        <w:t>3.7 Timing, amortization, and break-even</w:t>
      </w:r>
    </w:p>
    <w:p>
      <w:r>
        <w:t>Supplementary Table S17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4073327"/>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4073327"/>
                    </a:xfrm>
                    <a:prstGeom prst="rect"/>
                  </pic:spPr>
                </pic:pic>
              </a:graphicData>
            </a:graphic>
          </wp:inline>
        </w:drawing>
      </w:r>
    </w:p>
    <w:p>
      <w:pPr>
        <w:spacing w:after="200"/>
      </w:pPr>
      <w:r>
        <w:rPr>
          <w:b/>
          <w:sz w:val="18"/>
        </w:rPr>
        <w:t>Figure 6.</w:t>
      </w:r>
      <w:r>
        <w:rPr>
          <w:sz w:val="18"/>
        </w:rPr>
        <w:t xml:space="preserve"> Latency, amortization, and inverse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the eight states of the </w:t>
      </w:r>
      <m:oMath xmlns:a="http://schemas.openxmlformats.org/drawingml/2006/main" xmlns:pic="http://schemas.openxmlformats.org/drawingml/2006/picture">
        <m:r>
          <m:t>8</m:t>
        </m:r>
        <m:r>
          <m:rPr>
            <m:sty m:val="p"/>
          </m:rPr>
          <m:t>×</m:t>
        </m:r>
        <m:r>
          <m:t>8</m:t>
        </m:r>
      </m:oMath>
      <w:r>
        <w:rPr>
          <w:sz w:val="18"/>
        </w:rPr>
        <w:t xml:space="preserve"> Fisher plane: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Radius sensitivity agrees to </w:t>
      </w:r>
      <m:oMath xmlns:a="http://schemas.openxmlformats.org/drawingml/2006/main" xmlns:pic="http://schemas.openxmlformats.org/drawingml/2006/picture">
        <m:r>
          <m:t>1.1</m:t>
        </m:r>
        <m:r>
          <m:rPr>
            <m:sty m:val="p"/>
          </m:rPr>
          <m:t>×</m:t>
        </m:r>
        <m:sSup>
          <m:e>
            <m:r>
              <m:t>10</m:t>
            </m:r>
          </m:e>
          <m:sup>
            <m:r>
              <m:rPr>
                <m:sty m:val="p"/>
              </m:rPr>
              <m:t>−</m:t>
            </m:r>
            <m:r>
              <m:t>4</m:t>
            </m:r>
          </m:sup>
        </m:sSup>
      </m:oMath>
      <w:r>
        <w:rPr>
          <w:sz w:val="18"/>
        </w:rPr>
        <w:t xml:space="preserve"> median relative difference, while both charge sensitivities are near zero. (D) Blind Stage-20 inversion at 1% noise using estimator B for the single-salt, reversal-potential, and dual current-plus-selectivity protocols (15 states, 20 realizations each); bars are median relative errors and error bars are half the interquartile range. Single-salt charge remains unidentifiable; the dual protocol reaches 1.7% median charge and 0.17% radius error but only 68% 95% coverage, and the reversal potential is state dependent (263% weak-charge versus 7.3% strong-charge).</w:t>
      </w:r>
    </w:p>
    <w:p>
      <w:r>
        <w:t>The counts are conservative because they omit engineering time yet optimistic because they assume serial SG/FV; at roughly 1.9 times the 240-state training set, the operator is most advantageous for sweeps of thousands of states, while a single query already amortizes it against per-state DA-PINN retraining.</w:t>
      </w:r>
    </w:p>
    <w:p>
      <w:pPr>
        <w:pStyle w:val="Heading3"/>
      </w:pPr>
      <w:r>
        <w:t>3.8 Physics loss and data-only ablation</w:t>
      </w:r>
    </w:p>
    <w:p>
      <w:r>
        <w:t xml:space="preserve">Removing the physics loss increases current error by 54.3% for the DeepONet in-distribution and by 98.9% for the FNO out of distribution (corresponding to 35.2% and 49.7% error reductions when adding the physics term). For the DeepONet, the interp-test current error rises from 0.001093 to 0.001687, while the potential error changes only from 0.0008914 to 0.000928 (4.1% higher). For the FNO, the interp-test current error rises from 0.008511 to 0.01393 (63.7% higher), and the OOD current error rises from 0.009123 to 0.01815 (98.9% higher). The OOD potential error of the FNO also rises from 0.02079 to 0.03013 (44.9% higher). Figure 3C summarizes this ablation through the near-wall derivative residual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 xml:space="preserve"> and the interior Poisson residual on the interpolation split, where the data-only bars are the ones that move most.</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Conductance identifiability limits, Fisher spectrum, and experimental protocol design</w:t>
      </w:r>
    </w:p>
    <w:p>
      <w:r>
        <w:t xml:space="preserve">The inverse experiment asks what can be inferred from noisy current–voltage data when the observations are generated by the exact SG/FV solver. Across 15 held-out states and 20 noise realizations at 1% noise, single-salt inversion gives a median </w:t>
      </w:r>
      <m:oMath xmlns:a="http://schemas.openxmlformats.org/drawingml/2006/main" xmlns:pic="http://schemas.openxmlformats.org/drawingml/2006/picture">
        <m:sSub>
          <m:e>
            <m:r>
              <m:t>q</m:t>
            </m:r>
          </m:e>
          <m:sub>
            <m:r>
              <m:t>w</m:t>
            </m:r>
          </m:sub>
        </m:sSub>
      </m:oMath>
      <w:r>
        <w:t xml:space="preserve"> relative error of 1.00 (interquartile range 1.95) and a median radius error of 0.357% (IQR 0.662%); the charge error is not below the 10% criterion for any state, while radius meets the 2% criterion for 82% of realizations. The multi-salt protocol does not change this conclusion: the median charge error is 1.06 (IQR 4.96), radius error is 0.262%, and radius coverage is 61%. The dual protocol, which adds the near-wall selectivity </w:t>
      </w:r>
      <m:oMath xmlns:a="http://schemas.openxmlformats.org/drawingml/2006/main" xmlns:pic="http://schemas.openxmlformats.org/drawingml/2006/picture">
        <m:r>
          <m:t>S</m:t>
        </m:r>
      </m:oMath>
      <w:r>
        <w:t xml:space="preserve">, reduces the median charge error to 4.83% (IQR 11.6%) and the radius error to 0.0999% (IQR 0.125%), with 95% coverage of 70.7% for charge and 96.3% for radius. At 0.2% and 2% noise the dual charge errors are 4.92% and 4.95%, and the radius errors are 0.0185% and 0.217%; the charge error is nearly independent of noise because it is limited by the residual charge–geometry correlation and by the finite candidate grid, not by the noise level. The 70.7% charge coverage is substantial undercoverage, caused by a roughly 1.9% surrogate bias in the selectivity </w:t>
      </w:r>
      <m:oMath xmlns:a="http://schemas.openxmlformats.org/drawingml/2006/main" xmlns:pic="http://schemas.openxmlformats.org/drawingml/2006/picture">
        <m:r>
          <m:t>S</m:t>
        </m:r>
      </m:oMath>
      <w:r>
        <w:t xml:space="preserve"> rather than by noise. The Stage-20 blind residual-controlled inversion reduces the median charge error to 1.7%, but it does not eliminate that bias floor: at 0.2% noise the 95% intervals cover only 4% of realizations, rising to 68% at 1% and 87% at 2%. The dual result should therefore be read as a bias-limited 2% recovery, not a calibrated sub-percent measurement.</w:t>
      </w:r>
    </w:p>
    <w:p>
      <w:r>
        <w:t xml:space="preserve">The </w:t>
      </w:r>
      <m:oMath xmlns:a="http://schemas.openxmlformats.org/drawingml/2006/main" xmlns:pic="http://schemas.openxmlformats.org/drawingml/2006/picture">
        <m:r>
          <m:t>121</m:t>
        </m:r>
        <m:r>
          <m:rPr>
            <m:sty m:val="p"/>
          </m:rPr>
          <m:t>×</m:t>
        </m:r>
        <m:r>
          <m:t>121</m:t>
        </m:r>
      </m:oMath>
      <w:r>
        <w:t xml:space="preserve"> repetition confirms the identifiable protocol: at 1% noise the dual charge and radius estimates change by only 0.40% and 0.91% relative to the </w:t>
      </w:r>
      <m:oMath xmlns:a="http://schemas.openxmlformats.org/drawingml/2006/main" xmlns:pic="http://schemas.openxmlformats.org/drawingml/2006/picture">
        <m:r>
          <m:t>61</m:t>
        </m:r>
        <m:r>
          <m:rPr>
            <m:sty m:val="p"/>
          </m:rPr>
          <m:t>×</m:t>
        </m:r>
        <m:r>
          <m:t>61</m:t>
        </m:r>
      </m:oMath>
      <w:r>
        <w:t xml:space="preserve"> grid. The single- and multi-salt radius estimates change by 21–29% because the flat charge direction leaves a shallow, grid-sensitive radius optimum, although the qualitative ranking is unchanged (Supplementary Table S18). We therefore use the dual protocol for quantitative identifiability claims and the single/multi protocols only for the negative result that charge is not identifiable from conductance alone.</w:t>
      </w:r>
    </w:p>
    <w:p>
      <w:r>
        <w:t xml:space="preserve">This flat direction follows from the structure of the binary-electrolyte flux. The local ohmic drift conductivity is </w:t>
      </w:r>
      <m:oMath xmlns:a="http://schemas.openxmlformats.org/drawingml/2006/main" xmlns:pic="http://schemas.openxmlformats.org/drawingml/2006/picture">
        <m:r>
          <m:t>σ</m:t>
        </m:r>
        <m:r>
          <m:rPr>
            <m:sty m:val="p"/>
          </m:rPr>
          <m:t>=</m:t>
        </m:r>
        <m:r>
          <m:rPr>
            <m:sty m:val="p"/>
          </m:rPr>
          <m:t>(</m:t>
        </m:r>
        <m:sSup>
          <m:e>
            <m:r>
              <m:t>F</m:t>
            </m:r>
          </m:e>
          <m:sup>
            <m:r>
              <m:t>2</m:t>
            </m:r>
          </m:sup>
        </m:sSup>
        <m:r>
          <m:rPr>
            <m:sty m:val="p"/>
          </m:rPr>
          <m:t>/</m:t>
        </m:r>
        <m:r>
          <m:t>R</m:t>
        </m:r>
        <m:r>
          <m:t>T</m:t>
        </m:r>
        <m:r>
          <m:rPr>
            <m:sty m:val="p"/>
          </m:rPr>
          <m:t>)</m:t>
        </m:r>
        <m:r>
          <m:rPr>
            <m:sty m:val="p"/>
          </m:rPr>
          <m:t>(</m:t>
        </m:r>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r>
          <m:rPr>
            <m:sty m:val="p"/>
          </m:rPr>
          <m:t>=</m:t>
        </m:r>
        <m:r>
          <m:rPr>
            <m:sty m:val="p"/>
          </m:rPr>
          <m:t>(</m:t>
        </m:r>
        <m:sSup>
          <m:e>
            <m:r>
              <m:t>F</m:t>
            </m:r>
          </m:e>
          <m:sup>
            <m:r>
              <m:t>2</m:t>
            </m:r>
          </m:sup>
        </m:sSup>
        <m:r>
          <m:rPr>
            <m:sty m:val="p"/>
          </m:rPr>
          <m:t>/</m:t>
        </m:r>
        <m:r>
          <m:t>R</m:t>
        </m:r>
        <m:r>
          <m:t>T</m:t>
        </m:r>
        <m:r>
          <m:rPr>
            <m:sty m:val="p"/>
          </m:rPr>
          <m:t>)</m:t>
        </m:r>
        <m:d>
          <m:dPr>
            <m:begChr m:val="("/>
            <m:sepChr m:val=""/>
            <m:endChr m:val=")"/>
            <m:grow/>
          </m:dPr>
          <m:e>
            <m:acc>
              <m:accPr>
                <m:chr m:val="‾"/>
              </m:accPr>
              <m:e>
                <m:r>
                  <m:t>D</m:t>
                </m:r>
              </m:e>
            </m:acc>
            <m:r>
              <m:t> </m:t>
            </m:r>
            <m:r>
              <m:rPr>
                <m:sty m:val="p"/>
              </m:rPr>
              <m:t>(</m:t>
            </m:r>
            <m:sSub>
              <m:e>
                <m:r>
                  <m:t>c</m:t>
                </m:r>
              </m:e>
              <m:sub>
                <m:r>
                  <m:rPr>
                    <m:sty m:val="p"/>
                  </m:rPr>
                  <m:t>+</m:t>
                </m:r>
              </m:sub>
            </m:sSub>
            <m:r>
              <m:rPr>
                <m:sty m:val="p"/>
              </m:rPr>
              <m:t>+</m:t>
            </m:r>
            <m:sSub>
              <m:e>
                <m:r>
                  <m:t>c</m:t>
                </m:r>
              </m:e>
              <m:sub>
                <m:r>
                  <m:rPr>
                    <m:sty m:val="p"/>
                  </m:rPr>
                  <m:t>−</m:t>
                </m:r>
              </m:sub>
            </m:sSub>
            <m:r>
              <m:rPr>
                <m:sty m:val="p"/>
              </m:rPr>
              <m:t>)</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rPr>
                <m:sty m:val="p"/>
              </m:rPr>
              <m:t>(</m:t>
            </m:r>
            <m:sSub>
              <m:e>
                <m:r>
                  <m:t>c</m:t>
                </m:r>
              </m:e>
              <m:sub>
                <m:r>
                  <m:rPr>
                    <m:sty m:val="p"/>
                  </m:rPr>
                  <m:t>+</m:t>
                </m:r>
              </m:sub>
            </m:sSub>
            <m:r>
              <m:rPr>
                <m:sty m:val="p"/>
              </m:rPr>
              <m:t>−</m:t>
            </m:r>
            <m:sSub>
              <m:e>
                <m:r>
                  <m:t>c</m:t>
                </m:r>
              </m:e>
              <m:sub>
                <m:r>
                  <m:rPr>
                    <m:sty m:val="p"/>
                  </m:rPr>
                  <m:t>−</m:t>
                </m:r>
              </m:sub>
            </m:sSub>
            <m:r>
              <m:rPr>
                <m:sty m:val="p"/>
              </m:rPr>
              <m:t>)</m:t>
            </m:r>
          </m:e>
        </m:d>
      </m:oMath>
      <w:r>
        <w:t xml:space="preserve">, with </w:t>
      </w:r>
      <m:oMath xmlns:a="http://schemas.openxmlformats.org/drawingml/2006/main" xmlns:pic="http://schemas.openxmlformats.org/drawingml/2006/picture">
        <m:acc>
          <m:accPr>
            <m:chr m:val="‾"/>
          </m:accPr>
          <m:e>
            <m:r>
              <m:t>D</m:t>
            </m:r>
          </m:e>
        </m:acc>
        <m:r>
          <m:rPr>
            <m:sty m:val="p"/>
          </m:rPr>
          <m:t>=</m:t>
        </m:r>
        <m:r>
          <m:rPr>
            <m:sty m:val="p"/>
          </m:rPr>
          <m:t>(</m:t>
        </m:r>
        <m:sSub>
          <m:e>
            <m:r>
              <m:t>D</m:t>
            </m:r>
          </m:e>
          <m:sub>
            <m:r>
              <m:rPr>
                <m:sty m:val="p"/>
              </m:rPr>
              <m:t>+</m:t>
            </m:r>
          </m:sub>
        </m:sSub>
        <m:r>
          <m:rPr>
            <m:sty m:val="p"/>
          </m:rPr>
          <m:t>+</m:t>
        </m:r>
        <m:sSub>
          <m:e>
            <m:r>
              <m:t>D</m:t>
            </m:r>
          </m:e>
          <m:sub>
            <m:r>
              <m:rPr>
                <m:sty m:val="p"/>
              </m:rPr>
              <m:t>−</m:t>
            </m:r>
          </m:sub>
        </m:sSub>
        <m:r>
          <m:rPr>
            <m:sty m:val="p"/>
          </m:rPr>
          <m:t>)</m:t>
        </m:r>
        <m:r>
          <m:rPr>
            <m:sty m:val="p"/>
          </m:rPr>
          <m:t>/</m:t>
        </m:r>
        <m:r>
          <m:t>2</m:t>
        </m:r>
      </m:oMath>
      <w:r>
        <w:t xml:space="preserve">. Define the positive geometric salt scale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r>
          <m:rPr>
            <m:sty m:val="p"/>
          </m:rPr>
          <m:t>&gt;</m:t>
        </m:r>
        <m:r>
          <m:t>0</m:t>
        </m:r>
      </m:oMath>
      <w:r>
        <w:t xml:space="preserve"> and the net charge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Then </w:t>
      </w:r>
      <m:oMath xmlns:a="http://schemas.openxmlformats.org/drawingml/2006/main" xmlns:pic="http://schemas.openxmlformats.org/drawingml/2006/picture">
        <m:r>
          <m:rPr>
            <m:sty m:val="p"/>
          </m:rPr>
          <m:t>Σ</m:t>
        </m:r>
        <m:r>
          <m:t>c</m:t>
        </m:r>
        <m:r>
          <m:rPr>
            <m:sty m:val="p"/>
          </m:rPr>
          <m:t>=</m:t>
        </m:r>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&gt;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rPr>
            <m:sty m:val="p"/>
          </m:rPr>
          <m:t>(</m:t>
        </m:r>
        <m:r>
          <m:rPr>
            <m:sty m:val="p"/>
          </m:rPr>
          <m:t>Σ</m:t>
        </m:r>
        <m:r>
          <m:t>c</m:t>
        </m:r>
        <m:r>
          <m:rPr>
            <m:sty m:val="p"/>
          </m:rPr>
          <m:t>±</m:t>
        </m:r>
        <m:r>
          <m:t>ρ</m:t>
        </m:r>
        <m:r>
          <m:rPr>
            <m:sty m:val="p"/>
          </m:rPr>
          <m:t>)</m:t>
        </m:r>
        <m:r>
          <m:rPr>
            <m:sty m:val="p"/>
          </m:rPr>
          <m:t>/</m:t>
        </m:r>
        <m:r>
          <m:t>2</m:t>
        </m:r>
      </m:oMath>
      <w:r>
        <w:t xml:space="preserve">, so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A Donnan layer with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t>1</m:t>
        </m:r>
      </m:oMath>
      <w:r>
        <w:t xml:space="preserve"> has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rPr>
            <m:sty m:val="p"/>
          </m:rPr>
          <m:t>Σ</m:t>
        </m:r>
        <m:r>
          <m:t>c</m:t>
        </m:r>
        <m:r>
          <m:rPr>
            <m:sty m:val="p"/>
          </m:rPr>
          <m:t>=</m:t>
        </m:r>
        <m:rad>
          <m:radPr>
            <m:degHide m:val="on"/>
          </m:radPr>
          <m:deg/>
          <m:e>
            <m:sSup>
              <m:e>
                <m:r>
                  <m:t>s</m:t>
                </m:r>
              </m:e>
              <m:sup>
                <m:r>
                  <m:t>2</m:t>
                </m:r>
              </m:sup>
            </m:sSup>
            <m:r>
              <m:rPr>
                <m:sty m:val="p"/>
              </m:rPr>
              <m:t>+</m:t>
            </m:r>
            <m:sSup>
              <m:e>
                <m:r>
                  <m:t>ρ</m:t>
                </m:r>
              </m:e>
              <m:sup>
                <m:r>
                  <m:t>2</m:t>
                </m:r>
              </m:sup>
            </m:sSup>
          </m:e>
        </m:rad>
        <m:r>
          <m:rPr>
            <m:sty m:val="p"/>
          </m:rPr>
          <m:t>=</m:t>
        </m:r>
        <m:r>
          <m:t>2</m:t>
        </m:r>
        <m:r>
          <m:rPr>
            <m:sty m:val="p"/>
          </m:rPr>
          <m:t>+</m:t>
        </m:r>
        <m:sSup>
          <m:e>
            <m:r>
              <m:t>ρ</m:t>
            </m:r>
          </m:e>
          <m:sup>
            <m:r>
              <m:t>2</m:t>
            </m:r>
          </m:sup>
        </m:sSup>
        <m:r>
          <m:rPr>
            <m:sty m:val="p"/>
          </m:rPr>
          <m:t>/</m:t>
        </m:r>
        <m:r>
          <m:t>4</m:t>
        </m:r>
        <m:r>
          <m:rPr>
            <m:sty m:val="p"/>
          </m:rPr>
          <m:t>+</m:t>
        </m:r>
        <m:r>
          <m:t>O</m:t>
        </m:r>
        <m:r>
          <m:rPr>
            <m:sty m:val="p"/>
          </m:rPr>
          <m:t>(</m:t>
        </m:r>
        <m:sSup>
          <m:e>
            <m:r>
              <m:t>ρ</m:t>
            </m:r>
          </m:e>
          <m:sup>
            <m:r>
              <m:t>4</m:t>
            </m:r>
          </m:sup>
        </m:sSup>
        <m:r>
          <m:rPr>
            <m:sty m:val="p"/>
          </m:rPr>
          <m:t>)</m:t>
        </m:r>
      </m:oMath>
      <w:r>
        <w:t xml:space="preserve">. Hence for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the charge enters the conductance only at second order in </w:t>
      </w:r>
      <m:oMath xmlns:a="http://schemas.openxmlformats.org/drawingml/2006/main" xmlns:pic="http://schemas.openxmlformats.org/drawingml/2006/picture">
        <m:r>
          <m:t>ρ</m:t>
        </m:r>
        <m:r>
          <m:rPr>
            <m:sty m:val="p"/>
          </m:rPr>
          <m:t>=</m:t>
        </m:r>
        <m:r>
          <m:t>O</m:t>
        </m:r>
        <m:r>
          <m:rPr>
            <m:sty m:val="p"/>
          </m:rPr>
          <m:t>(</m:t>
        </m:r>
        <m:sSub>
          <m:e>
            <m:r>
              <m:t>q</m:t>
            </m:r>
          </m:e>
          <m:sub>
            <m:r>
              <m:t>w</m:t>
            </m:r>
          </m:sub>
        </m:sSub>
        <m:r>
          <m:rPr>
            <m:sty m:val="p"/>
          </m:rPr>
          <m:t>)</m:t>
        </m:r>
      </m:oMath>
      <w:r>
        <w:t xml:space="preserve">,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O</m:t>
        </m:r>
        <m:r>
          <m:rPr>
            <m:sty m:val="p"/>
          </m:rPr>
          <m:t>(</m:t>
        </m:r>
        <m:sSup>
          <m:e>
            <m:r>
              <m:t>ρ</m:t>
            </m:r>
          </m:e>
          <m:sup>
            <m:r>
              <m:t>2</m:t>
            </m:r>
          </m:sup>
        </m:sSup>
        <m:r>
          <m:rPr>
            <m:sty m:val="p"/>
          </m:rPr>
          <m:t>)</m:t>
        </m:r>
      </m:oMath>
      <w:r>
        <w:t xml:space="preserve"> vanishes at zero charge. A finite diffusivity difference adds the linear term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r>
          <m:t>2</m:t>
        </m:r>
      </m:oMath>
      <w:r>
        <w:t xml:space="preserve">, with relative coefficient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0.0175 for KCl and 0.21 even for NaCl. The first term is the total ion concentration fixed by bulk concentration and geometry; the second is the only linear charge channel, and it is small.</w:t>
      </w:r>
    </w:p>
    <w:p>
      <w:r>
        <w:t>An SG/FV-in-the-loop refinement tests whether the inverse ranking survives the exact forward model rather than the operator. On five states at 1% noise, with the exact solver used for every candidate and the search initialized from the operator estimate, the median dual charge error is 8.7% and the radius error is 0.45%; single and multi give charge errors of 134% and 119% and radius errors of 0.44% and 0.27%. The exact check is more conservative than the operator inversion, especially for charge, but preserves the conclusion: dual is the only protocol that brings charge below 10% on average, and radius is recovered at the sub-percent level by all protocols. The five-state check is a validation of the ranking, not a blind estimator with an independent initializer (Supplementary Table S18).</w:t>
      </w:r>
    </w:p>
    <w:p>
      <w:r>
        <w:t>The Fisher analysis explains the same result without an inverse crime. The negative-</w:t>
      </w:r>
      <m:oMath xmlns:a="http://schemas.openxmlformats.org/drawingml/2006/main" xmlns:pic="http://schemas.openxmlformats.org/drawingml/2006/picture">
        <m:sSub>
          <m:e>
            <m:r>
              <m:t>q</m:t>
            </m:r>
          </m:e>
          <m:sub>
            <m:r>
              <m:t>w</m:t>
            </m:r>
          </m:sub>
        </m:sSub>
      </m:oMath>
      <w:r>
        <w:t xml:space="preserve"> plane gives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7.8</m:t>
        </m:r>
        <m:r>
          <m:rPr>
            <m:sty m:val="p"/>
          </m:rPr>
          <m:t>×</m:t>
        </m:r>
        <m:sSup>
          <m:e>
            <m:r>
              <m:t>10</m:t>
            </m:r>
          </m:e>
          <m:sup>
            <m:r>
              <m:t>7</m:t>
            </m:r>
          </m:sup>
        </m:sSup>
      </m:oMath>
      <w:r>
        <w:t xml:space="preserve"> and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with </w:t>
      </w:r>
      <m:oMath xmlns:a="http://schemas.openxmlformats.org/drawingml/2006/main" xmlns:pic="http://schemas.openxmlformats.org/drawingml/2006/picture">
        <m:r>
          <m:t>99.1</m:t>
        </m:r>
      </m:oMath>
      <w:r>
        <w:t xml:space="preserve"> of the plane above </w:t>
      </w:r>
      <m:oMath xmlns:a="http://schemas.openxmlformats.org/drawingml/2006/main" xmlns:pic="http://schemas.openxmlformats.org/drawingml/2006/picture">
        <m:sSup>
          <m:e>
            <m:r>
              <m:t>10</m:t>
            </m:r>
          </m:e>
          <m:sup>
            <m:r>
              <m:t>8</m:t>
            </m:r>
          </m:sup>
        </m:sSup>
      </m:oMath>
      <w:r>
        <w:t xml:space="preserve">. At 1% noise the median CRLB is 0.37% for radius but 86 for charge, i.e. the conductance measurement constrains radius and leaves charge essentially free. The exact </w:t>
      </w:r>
      <m:oMath xmlns:a="http://schemas.openxmlformats.org/drawingml/2006/main" xmlns:pic="http://schemas.openxmlformats.org/drawingml/2006/picture">
        <m:r>
          <m:t>8</m:t>
        </m:r>
        <m:r>
          <m:rPr>
            <m:sty m:val="p"/>
          </m:rPr>
          <m:t>×</m:t>
        </m:r>
        <m:r>
          <m:t>8</m:t>
        </m:r>
      </m:oMath>
      <w:r>
        <w:t xml:space="preserve"> SG/FV check agrees on radius: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is 2.00003 for the solver and 2.00022 for the operator, with a median relative difference of </w:t>
      </w:r>
      <m:oMath xmlns:a="http://schemas.openxmlformats.org/drawingml/2006/main" xmlns:pic="http://schemas.openxmlformats.org/drawingml/2006/picture">
        <m:r>
          <m:t>1.1</m:t>
        </m:r>
        <m:r>
          <m:rPr>
            <m:sty m:val="p"/>
          </m:rPr>
          <m:t>×</m:t>
        </m:r>
        <m:sSup>
          <m:e>
            <m:r>
              <m:t>10</m:t>
            </m:r>
          </m:e>
          <m:sup>
            <m:r>
              <m:rPr>
                <m:sty m:val="p"/>
              </m:rPr>
              <m:t>−</m:t>
            </m:r>
            <m:r>
              <m:t>4</m:t>
            </m:r>
          </m:sup>
        </m:sSup>
      </m:oMath>
      <w:r>
        <w:t>. The charge sensitivity is near-null in both (</w:t>
      </w:r>
      <m:oMath xmlns:a="http://schemas.openxmlformats.org/drawingml/2006/main" xmlns:pic="http://schemas.openxmlformats.org/drawingml/2006/picture">
        <m:r>
          <m:rPr>
            <m:sty m:val="p"/>
          </m:rPr>
          <m:t>−</m:t>
        </m:r>
        <m:r>
          <m:t>1.6</m:t>
        </m:r>
        <m:r>
          <m:rPr>
            <m:sty m:val="p"/>
          </m:rPr>
          <m:t>×</m:t>
        </m:r>
        <m:sSup>
          <m:e>
            <m:r>
              <m:t>10</m:t>
            </m:r>
          </m:e>
          <m:sup>
            <m:r>
              <m:rPr>
                <m:sty m:val="p"/>
              </m:rPr>
              <m:t>−</m:t>
            </m:r>
            <m:r>
              <m:t>5</m:t>
            </m:r>
          </m:sup>
        </m:sSup>
      </m:oMath>
      <w:r>
        <w:t xml:space="preserve"> exact,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operator), so its relative difference is large even though both are negligible. The exact single-salt Fisher matrix is numerically rank-deficient (</w:t>
      </w:r>
      <m:oMath xmlns:a="http://schemas.openxmlformats.org/drawingml/2006/main" xmlns:pic="http://schemas.openxmlformats.org/drawingml/2006/picture">
        <m:r>
          <m:t>κ</m:t>
        </m:r>
        <m:r>
          <m:rPr>
            <m:sty m:val="p"/>
          </m:rPr>
          <m:t>&gt;</m:t>
        </m:r>
        <m:sSup>
          <m:e>
            <m:r>
              <m:t>10</m:t>
            </m:r>
          </m:e>
          <m:sup>
            <m:r>
              <m:t>16</m:t>
            </m:r>
          </m:sup>
        </m:sSup>
      </m:oMath>
      <w:r>
        <w:t xml:space="preserve">) and the operator gives </w:t>
      </w:r>
      <m:oMath xmlns:a="http://schemas.openxmlformats.org/drawingml/2006/main" xmlns:pic="http://schemas.openxmlformats.org/drawingml/2006/picture">
        <m:r>
          <m:t>κ</m:t>
        </m:r>
        <m:r>
          <m:rPr>
            <m:sty m:val="p"/>
          </m:rPr>
          <m:t>≈</m:t>
        </m:r>
        <m:r>
          <m:t>9.8</m:t>
        </m:r>
        <m:r>
          <m:rPr>
            <m:sty m:val="p"/>
          </m:rPr>
          <m:t>×</m:t>
        </m:r>
        <m:sSup>
          <m:e>
            <m:r>
              <m:t>10</m:t>
            </m:r>
          </m:e>
          <m:sup>
            <m:r>
              <m:t>8</m:t>
            </m:r>
          </m:sup>
        </m:sSup>
      </m:oMath>
      <w:r>
        <w:t xml:space="preserve">; both place the charge axis in the null space. The </w:t>
      </w:r>
      <m:oMath xmlns:a="http://schemas.openxmlformats.org/drawingml/2006/main" xmlns:pic="http://schemas.openxmlformats.org/drawingml/2006/picture">
        <m:r>
          <m:t>8</m:t>
        </m:r>
        <m:r>
          <m:rPr>
            <m:sty m:val="p"/>
          </m:rPr>
          <m:t>×</m:t>
        </m:r>
        <m:r>
          <m:t>8</m:t>
        </m:r>
      </m:oMath>
      <w:r>
        <w:t xml:space="preserve"> comparison therefore validates the radius sensitivity and the qualitative charge degeneracy, not the absolute value of the exact condition number, which exceeds float64 resolution (Supplementary Table S19).</w:t>
      </w:r>
    </w:p>
    <w:p>
      <w:r>
        <w:t xml:space="preserve">These results revise the earlier sub-percent dual-recovery claim. That estimate was obtained with operator-generated observations, a </w:t>
      </w:r>
      <m:oMath xmlns:a="http://schemas.openxmlformats.org/drawingml/2006/main" xmlns:pic="http://schemas.openxmlformats.org/drawingml/2006/picture">
        <m:r>
          <m:t>30</m:t>
        </m:r>
        <m:r>
          <m:rPr>
            <m:sty m:val="p"/>
          </m:rPr>
          <m:t>×</m:t>
        </m:r>
        <m:r>
          <m:t>30</m:t>
        </m:r>
      </m:oMath>
      <w:r>
        <w:t xml:space="preserve"> grid, and a small five-state sample; with exact SG/FV observations, 20 noise draws, and a nested </w:t>
      </w:r>
      <m:oMath xmlns:a="http://schemas.openxmlformats.org/drawingml/2006/main" xmlns:pic="http://schemas.openxmlformats.org/drawingml/2006/picture">
        <m:r>
          <m:t>61</m:t>
        </m:r>
        <m:r>
          <m:rPr>
            <m:sty m:val="p"/>
          </m:rPr>
          <m:t>/</m:t>
        </m:r>
        <m:r>
          <m:t>121</m:t>
        </m:r>
      </m:oMath>
      <w:r>
        <w:t xml:space="preserve"> grid, the defensible statement from the Stage-18 candidate-grid estimator is that dual inversion recovers charge to 5–10% and radius to 0.1–0.5%. The Stage-20 estimator is a different algorithm—a blind, refreshed-Jacobian Gauss–Newton in </w:t>
      </w:r>
      <m:oMath xmlns:a="http://schemas.openxmlformats.org/drawingml/2006/main" xmlns:pic="http://schemas.openxmlformats.org/drawingml/2006/picture">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rather than a grid search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—and its band-resolved errors and separate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coverage are reported in Section 3.10 and Supplementary Table S22; the two are not pooled. The physical conclusion is unchanged: a charge-sensitive readout is required, and the operator is a practical tool for choosing it.</w:t>
      </w:r>
    </w:p>
    <w:p>
      <w:r>
        <w:t xml:space="preserve">These results turn the operator into a protocol-design tool. Before fabricating or measuring a pore, a user can query the live portal (https://pino.statwhy.com) or the Python API to evaluate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and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for candidate bias sets, salinities, salinity gradients, and observable combinations, and choose the protocol that minimizes the charge-direction variance subject to experimental constraints. The package exposes the operator Jacobian and the Fisher construction, and the portal reports the same sensitivities interactively; the diffusive-ratio scan of Supplementary Table S20 is reproducible with </w:t>
      </w:r>
      <w:r>
        <w:rPr>
          <w:rFonts w:ascii="Consolas" w:hAnsi="Consolas"/>
          <w:sz w:val="19"/>
        </w:rPr>
        <w:t>scripts/run_diffusivity_symmetry_check.py</w:t>
      </w:r>
      <w:r>
        <w:t>. For a conductance-only experiment the calculation predicts a flat charge direction and should redirect effort to a charge-sensitive readout—reversal potential or transference number, streaming potential, ionic current rectification, or field-resolved near-wall sensing—rather than to additional conductance data.</w:t>
      </w:r>
    </w:p>
    <w:p>
      <w:r>
        <w:t xml:space="preserve">The boundary of the claim is explicit. The near-null result is established for symmetric binary electrolytes with nearly equal ionic diffusivities, such as KCl, and for a conductance-only protocol. Unequal diffusivities add the linear term above but leave </w:t>
      </w:r>
      <m:oMath xmlns:a="http://schemas.openxmlformats.org/drawingml/2006/main" xmlns:pic="http://schemas.openxmlformats.org/drawingml/2006/picture">
        <m:r>
          <m:t>κ</m:t>
        </m:r>
        <m:r>
          <m:rPr>
            <m:sty m:val="p"/>
          </m:rPr>
          <m:t>&gt;</m:t>
        </m:r>
        <m:sSup>
          <m:e>
            <m:r>
              <m:t>10</m:t>
            </m:r>
          </m:e>
          <m:sup>
            <m:r>
              <m:t>15</m:t>
            </m:r>
          </m:sup>
        </m:sSup>
      </m:oMath>
      <w:r>
        <w:t xml:space="preserve"> at 1% noise (Supplementary Table S20); asymmetric valence or a non-binary electrolyte changes the flux structure and lies outside the present proof. Within that boundary the limit is a property of the measurement, not of the surrogate or the solver.</w:t>
      </w:r>
    </w:p>
    <w:p>
      <w:pPr>
        <w:pStyle w:val="Heading3"/>
      </w:pPr>
      <w:r>
        <w:t>3.10 Warm-started finite-volume solver and reversal-potential identifiability</w:t>
      </w:r>
    </w:p>
    <w:p>
      <w:r>
        <w:t xml:space="preserve">The hybrid solver combines the frozen operator with a Weyl singular-value gate and a conservative SG/FV correction warm-started from the operator; this is a residual-based, derivative-informed correction in the sense of [61, 62], not a new learned field representation. On 120 states spanning the weak, transitional, and strong charge bands, the reference-free Pino-Controller reproduces the full SG/FV current to a median relative error of </w:t>
      </w:r>
      <m:oMath xmlns:a="http://schemas.openxmlformats.org/drawingml/2006/main" xmlns:pic="http://schemas.openxmlformats.org/drawingml/2006/picture">
        <m:r>
          <m:t>3.0</m:t>
        </m:r>
        <m:r>
          <m:rPr>
            <m:sty m:val="p"/>
          </m:rPr>
          <m:t>×</m:t>
        </m:r>
        <m:sSup>
          <m:e>
            <m:r>
              <m:t>10</m:t>
            </m:r>
          </m:e>
          <m:sup>
            <m:r>
              <m:rPr>
                <m:sty m:val="p"/>
              </m:rPr>
              <m:t>−</m:t>
            </m:r>
            <m:r>
              <m:t>12</m:t>
            </m:r>
          </m:sup>
        </m:sSup>
      </m:oMath>
      <w:r>
        <w:t xml:space="preserve"> at 0.165 s per state, compared with 1.575 s for a cold full </w:t>
      </w:r>
      <m:oMath xmlns:a="http://schemas.openxmlformats.org/drawingml/2006/main" xmlns:pic="http://schemas.openxmlformats.org/drawingml/2006/picture">
        <m:r>
          <m:t>21</m:t>
        </m:r>
        <m:r>
          <m:rPr>
            <m:sty m:val="p"/>
          </m:rPr>
          <m:t>×</m:t>
        </m:r>
        <m:r>
          <m:t>61</m:t>
        </m:r>
      </m:oMath>
      <w:r>
        <w:t xml:space="preserve"> solve, a 5.3-fold reduction for Task A (forward solve) and 4.0-fold for Task B (reversal-potential root search). A single Gummel step alone gives </w:t>
      </w:r>
      <m:oMath xmlns:a="http://schemas.openxmlformats.org/drawingml/2006/main" xmlns:pic="http://schemas.openxmlformats.org/drawingml/2006/picture">
        <m:r>
          <m:t>1.8</m:t>
        </m:r>
        <m:r>
          <m:rPr>
            <m:sty m:val="p"/>
          </m:rPr>
          <m:t>×</m:t>
        </m:r>
        <m:sSup>
          <m:e>
            <m:r>
              <m:t>10</m:t>
            </m:r>
          </m:e>
          <m:sup>
            <m:r>
              <m:rPr>
                <m:sty m:val="p"/>
              </m:rPr>
              <m:t>−</m:t>
            </m:r>
            <m:r>
              <m:t>4</m:t>
            </m:r>
          </m:sup>
        </m:sSup>
      </m:oMath>
      <w:r>
        <w:t xml:space="preserve"> current error at 0.010 s; the controller's gain comes from the operator warm start plus the conservative correction. Its median reversal-potential error is 0.038 mV, inherited from the reversal surrogate rather than from the field correction. The eight-method comparison also shows that the linearized Poisson–Boltzmann model is a strong current baseline in this box (median relative error </w:t>
      </w:r>
      <m:oMath xmlns:a="http://schemas.openxmlformats.org/drawingml/2006/main" xmlns:pic="http://schemas.openxmlformats.org/drawingml/2006/picture">
        <m:r>
          <m:t>3.2</m:t>
        </m:r>
        <m:r>
          <m:rPr>
            <m:sty m:val="p"/>
          </m:rPr>
          <m:t>×</m:t>
        </m:r>
        <m:sSup>
          <m:e>
            <m:r>
              <m:t>10</m:t>
            </m:r>
          </m:e>
          <m:sup>
            <m:r>
              <m:rPr>
                <m:sty m:val="p"/>
              </m:rPr>
              <m:t>−</m:t>
            </m:r>
            <m:r>
              <m:t>6</m:t>
            </m:r>
          </m:sup>
        </m:sSup>
      </m:oMath>
      <w:r>
        <w:t>) but not a charge model, and that POD–RBF degrades in the strong-charge band.</w:t>
      </w:r>
    </w:p>
    <w:p>
      <w:r>
        <w:t xml:space="preserve">The Stage-20 blind inverse study removes the truth from every estimator. It uses 15 held-out states, three protocols, three noise levels, and 20 realizations, for 2,700 inversions;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Estimator A is surrogate-only with local quadratic refinement, B is a residual-controlled SG/FV Gauss–Newton polish, and C is a two-start cold SG/FV baseline. At 1% noise, single-salt inversion remains unidentifiable (median </w:t>
      </w:r>
      <m:oMath xmlns:a="http://schemas.openxmlformats.org/drawingml/2006/main" xmlns:pic="http://schemas.openxmlformats.org/drawingml/2006/picture">
        <m:sSub>
          <m:e>
            <m:r>
              <m:t>q</m:t>
            </m:r>
          </m:e>
          <m:sub>
            <m:r>
              <m:t>w</m:t>
            </m:r>
          </m:sub>
        </m:sSub>
      </m:oMath>
      <w:r>
        <w:t xml:space="preserve"> error 140%), while the reversal potential is strongly state dependent: its median error is 263% in the weak-charge band but 7.3% in the strong-charge band, where Donnan exclusion is large. The dual current-plus-selectivity protocol is the most stable, with median charge errors of 1.38%, 1.40%, and 2.41% in the weak, transitional, and strong bands (1.72% overall) and radius errors of 0.17%. Its 95% charge coverage is 68% at 1% noise, and only 4% at 0.2% noise, because the remaining roughly 2% surrogate bias floor dominates the shrinking statistical interval; coverage rises to 87% at 2% noise. The corresponding reversal-potential coverage is 56% at 1% noise. We therefore report the dual protocol as a bias-limited 2% recovery, the strong-exclusion reversal potential as a state-dependent 7% recovery, and do not claim calibrated sub-percent charge identification.</w:t>
      </w:r>
    </w:p>
    <w:p>
      <w:pPr>
        <w:pStyle w:val="Heading3"/>
      </w:pPr>
      <w:r>
        <w:t>3.11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S8.</w:t>
      </w:r>
    </w:p>
    <w:p>
      <w:pPr>
        <w:pStyle w:val="Heading3"/>
      </w:pPr>
      <w:r>
        <w:t>3.12 Interpreted baselines and strong-charge behavior</w:t>
      </w:r>
    </w:p>
    <w:p>
      <w:r>
        <w:t>To place the operator against simpler alternatives, we evaluated two interpreted models on the same 96 test states (Supplementary Table S21). The Ohmic bulk model uses the bulk conductivity and the geometric cross-section; the linearized radial Poisson–Boltzmann (PB) model uses a calibrated Debye-layer charge profile and no per-state fitting. A 30-mode POD–RBF interpolator and the FNO provide data-driven reference points. On the interpolation split the DeepONet has the lowest potential error (0.000891 versus 0.000969 for PB) and a net-charge error of 0.0825, essentially tied with PB (0.0939) and FNO (0.0931) and far below POD–RBF (0.433). The PB model is much better for current (8.2</w:t>
      </w:r>
      <m:oMath xmlns:a="http://schemas.openxmlformats.org/drawingml/2006/main" xmlns:pic="http://schemas.openxmlformats.org/drawingml/2006/picture">
        <m:r>
          <m:rPr>
            <m:sty m:val="p"/>
          </m:rPr>
          <m:t>×</m:t>
        </m:r>
        <m:sSup>
          <m:e>
            <m:r>
              <m:t>10</m:t>
            </m:r>
          </m:e>
          <m:sup>
            <m:r>
              <m:rPr>
                <m:sty m:val="p"/>
              </m:rPr>
              <m:t>−</m:t>
            </m:r>
            <m:r>
              <m:t>6</m:t>
            </m:r>
          </m:sup>
        </m:sSup>
      </m:oMath>
      <w:r>
        <w:t xml:space="preserve"> versus 0.00109) because its linearized profile is calibrated to the low-charge current, but it does not satisfy the nonlinear PNP equations or the charge identity and cannot represent the strong-charge regime. Out of distribution the FNO is better than the DeepONet on net charge (0.224 versus 0.368) and PB is better on both net charge (0.113) and current (0.000529), while the DeepONet retains a potential error (0.0202) comparable to PB (0.0203) and lower than POD–RBF (0.0463). The comparison therefore does not support a claim that the operator dominates every interpreted baseline; it supports the narrower claim that the operator is competitive on potential and superior on strong-charge fields and selectivity, which is the regime where a physics-constrained operator is needed.</w:t>
      </w:r>
    </w:p>
    <w:p>
      <w:r>
        <w:t xml:space="preserve">The strong-charge test makes that regime explicit. We generated 120 states at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and </w:t>
      </w:r>
      <m:oMath xmlns:a="http://schemas.openxmlformats.org/drawingml/2006/main" xmlns:pic="http://schemas.openxmlformats.org/drawingml/2006/picture">
        <m:r>
          <m:t>R</m:t>
        </m:r>
        <m:r>
          <m:rPr>
            <m:sty m:val="p"/>
          </m:rPr>
          <m:t>=</m:t>
        </m:r>
        <m:r>
          <m:t>2.5</m:t>
        </m:r>
      </m:oMath>
      <w:r>
        <w:t xml:space="preserve">–5 nm, split 96/24, and trained three DeepONets for 600 epochs. On the 24 test states the median current error is 0.00259 (seeds 42–44: 0.00259, 0.00120, 0.00302), compared with 0.0591 for the Ohmic bulk approximation, a 22.8-fold reduction; the Ohmic model has a net-charge error of 1.0 because it predicts no wall layer. The operator's median relative </w:t>
      </w:r>
      <m:oMath xmlns:a="http://schemas.openxmlformats.org/drawingml/2006/main" xmlns:pic="http://schemas.openxmlformats.org/drawingml/2006/picture">
        <m:sSub>
          <m:e>
            <m:r>
              <m:t>L</m:t>
            </m:r>
          </m:e>
          <m:sub>
            <m:r>
              <m:t>2</m:t>
            </m:r>
          </m:sub>
        </m:sSub>
      </m:oMath>
      <w:r>
        <w:t xml:space="preserve"> errors are 0.045–0.049 for net charge, 0.025–0.028 for potential, and 0.054–0.058 for the near-wall selectivity </w:t>
      </w:r>
      <m:oMath xmlns:a="http://schemas.openxmlformats.org/drawingml/2006/main" xmlns:pic="http://schemas.openxmlformats.org/drawingml/2006/picture">
        <m:r>
          <m:t>S</m:t>
        </m:r>
      </m:oMath>
      <w:r>
        <w:t xml:space="preserve"> (absolute </w:t>
      </w:r>
      <m:oMath xmlns:a="http://schemas.openxmlformats.org/drawingml/2006/main" xmlns:pic="http://schemas.openxmlformats.org/drawingml/2006/picture">
        <m:r>
          <m:t>S</m:t>
        </m:r>
      </m:oMath>
      <w:r>
        <w:t xml:space="preserve"> error 0.021–0.022). Strong surface charge therefore makes the charge-sensitive field large and accurately predictable, which is the signal a dual readout exploits; it does not by itself make single-salt conductance identify charge, and we do not claim that it does.</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 xml:space="preserve">The charge-balanced parameterization is the most transferable result, but the matched-loss control changes its quantitative interpretation. Relative to a naive direct-concentration loss the improvement is 8.63-fold for the DeepONet and 10.29-fold for the FNO, yet much of that gap is an optimization pathology: with the same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and its current error is 23% higher. The robust claim is therefore a 13–15% net-charge and 18–23% current advantage over a fairly trained direct model, plus an exact positivity and charge-identity guarantee. The underlying mechanism remains general: whenever a physical quantity is a small difference of two large positive fields, direct regression suffers from cancellation, and a reparameterization in terms of the sum and the difference reduces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54.3% for the DeepONet in-distribution and by 98.9% for the FNO out of distribution. Because current is the quantity that experiments measure, this is the relevant metric, and it justifies retaining the residual term even when labeled data are available.</w:t>
      </w:r>
    </w:p>
    <w:p>
      <w:r>
        <w:t>The inverse experiment sharpens the scope of the method. With exact SG/FV-generated observations, 20 noise draws, and a nested grid, the Stage-20 blind dual current–plus–selectivity inversion reaches 1.7% median charge error and 0.17% radius error at 1% noise, but only 68% 95% coverage; single- and multi-salt conductance leave charge at 140% median error and do not meet the 10% criterion for any state. The residual roughly 2% bias floor, not noise, limits the dual interval calibration; this is a separate surrogate limitation from the physical conductance-only degeneracy, which follows from the near-invariance of the concentration sum for a symmetric electrolyte with nearly equal diffusivities, and the Fisher analysis shows it holds across the negative-</w:t>
      </w:r>
      <m:oMath xmlns:a="http://schemas.openxmlformats.org/drawingml/2006/main" xmlns:pic="http://schemas.openxmlformats.org/drawingml/2006/picture">
        <m:sSub>
          <m:e>
            <m:r>
              <m:t>q</m:t>
            </m:r>
          </m:e>
          <m:sub>
            <m:r>
              <m:t>w</m:t>
            </m:r>
          </m:sub>
        </m:sSub>
      </m:oMath>
      <w:r>
        <w:t xml:space="preserve"> plane, with a near-null charge direction and condition numbers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t>
      </w:r>
      <m:oMath xmlns:a="http://schemas.openxmlformats.org/drawingml/2006/main" xmlns:pic="http://schemas.openxmlformats.org/drawingml/2006/picture">
        <m:r>
          <m:t>99.1</m:t>
        </m:r>
      </m:oMath>
      <w:r>
        <w:t xml:space="preserve"> above </w:t>
      </w:r>
      <m:oMath xmlns:a="http://schemas.openxmlformats.org/drawingml/2006/main" xmlns:pic="http://schemas.openxmlformats.org/drawingml/2006/picture">
        <m:sSup>
          <m:e>
            <m:r>
              <m:t>10</m:t>
            </m:r>
          </m:e>
          <m:sup>
            <m:r>
              <m:t>8</m:t>
            </m:r>
          </m:sup>
        </m:sSup>
      </m:oMath>
      <w:r>
        <w:t>). The median 1%-noise CRLB is 0.37% for radius but 86 for charge. The dual study narrows the remedy: multi-salt current–voltage data do not remove the degeneracy, whereas an independent near-wall selectivity observable brings the median charge error to about 2% while leaving a bias-limited coverage gap.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 xml:space="preserve">The Stage-19/20 hybrid and reversal study sharpens the same boundary. The reference-free warm-started controller reproduces the full SG/FV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median relative error at 0.165 s per state, 5.3-fold below the 1.575 s cold solve for Task A (forward solve) and 4.0-fold for Task B (reversal-potential root search), so it is a practical inner loop for protocol design. The unequal-reservoir reversal potential is strongly state dependent. It is weak at low charge and high salinity, where the concentration-cell potential carries little wall-charge signature, but it reaches </w:t>
      </w:r>
      <m:oMath xmlns:a="http://schemas.openxmlformats.org/drawingml/2006/main" xmlns:pic="http://schemas.openxmlformats.org/drawingml/2006/picture">
        <m:r>
          <m:rPr>
            <m:sty m:val="p"/>
          </m:rPr>
          <m:t>−</m:t>
        </m:r>
        <m:r>
          <m:t>5.67</m:t>
        </m:r>
      </m:oMath>
      <w:r>
        <w:t xml:space="preserve"> mV at </w:t>
      </w:r>
      <m:oMath xmlns:a="http://schemas.openxmlformats.org/drawingml/2006/main" xmlns:pic="http://schemas.openxmlformats.org/drawingml/2006/picture">
        <m:sSub>
          <m:e>
            <m:r>
              <m:t>q</m:t>
            </m:r>
          </m:e>
          <m:sub>
            <m:r>
              <m:t>w</m:t>
            </m:r>
          </m:sub>
        </m:sSub>
        <m:r>
          <m:rPr>
            <m:sty m:val="p"/>
          </m:rPr>
          <m:t>=</m:t>
        </m:r>
        <m:r>
          <m:rPr>
            <m:sty m:val="p"/>
          </m:rPr>
          <m:t>−</m:t>
        </m:r>
        <m:r>
          <m:t>1</m:t>
        </m:r>
      </m:oMath>
      <w:r>
        <w:t xml:space="preserve">,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t>R</m:t>
        </m:r>
        <m:r>
          <m:rPr>
            <m:sty m:val="p"/>
          </m:rPr>
          <m:t>=</m:t>
        </m:r>
        <m:r>
          <m:t>5</m:t>
        </m:r>
      </m:oMath>
      <w:r>
        <w:t xml:space="preserve"> nm even with equal diffusivities because Donnan exclusion is strong. A reversal-potential readout should therefore be designed for the strong-exclusion regime and combined with a genuinely charge-sensitive observable, rather than dismissed as uniformly weak or substituted for one.</w:t>
      </w:r>
    </w:p>
    <w:p>
      <w:r>
        <w:t>The selectivity observable that breaks the degeneracy is not a purely theoretical construct. In a symmetric binary electrolyte the near-wall selectivity reflects the counter-ion/co-ion imbalance in the electrical double layer [7, 8]. In electrokinetic nanochannel theory, this imbalance is probed experimentally via concentration-cell potential or streaming-potential measurements [10].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 Multivalent or asymmetric-valence salts such as CaCl</w:t>
      </w:r>
      <m:oMath xmlns:a="http://schemas.openxmlformats.org/drawingml/2006/main" xmlns:pic="http://schemas.openxmlformats.org/drawingml/2006/picture">
        <m:sSub>
          <m:e>
            <m:r>
              <m:t>​</m:t>
            </m:r>
          </m:e>
          <m:sub>
            <m:r>
              <m:t>2</m:t>
            </m:r>
          </m:sub>
        </m:sSub>
      </m:oMath>
      <w:r>
        <w:t xml:space="preserve"> and MgCl</w:t>
      </w:r>
      <m:oMath xmlns:a="http://schemas.openxmlformats.org/drawingml/2006/main" xmlns:pic="http://schemas.openxmlformats.org/drawingml/2006/picture">
        <m:sSub>
          <m:e>
            <m:r>
              <m:t>​</m:t>
            </m:r>
          </m:e>
          <m:sub>
            <m:r>
              <m:t>2</m:t>
            </m:r>
          </m:sub>
        </m:sSub>
      </m:oMath>
      <w:r>
        <w:t xml:space="preserve"> (</w:t>
      </w:r>
      <m:oMath xmlns:a="http://schemas.openxmlformats.org/drawingml/2006/main" xmlns:pic="http://schemas.openxmlformats.org/drawingml/2006/picture">
        <m:sSub>
          <m:e>
            <m:r>
              <m:t>z</m:t>
            </m:r>
          </m:e>
          <m:sub>
            <m:r>
              <m:rPr>
                <m:sty m:val="p"/>
              </m:rPr>
              <m:t>+</m:t>
            </m:r>
          </m:sub>
        </m:sSub>
        <m:r>
          <m:rPr>
            <m:sty m:val="p"/>
          </m:rPr>
          <m:t>≠</m:t>
        </m:r>
        <m:r>
          <m:rPr>
            <m:sty m:val="p"/>
          </m:rPr>
          <m:t>|</m:t>
        </m:r>
        <m:sSub>
          <m:e>
            <m:r>
              <m:t>z</m:t>
            </m:r>
          </m:e>
          <m:sub>
            <m:r>
              <m:rPr>
                <m:sty m:val="p"/>
              </m:rPr>
              <m:t>−</m:t>
            </m:r>
          </m:sub>
        </m:sSub>
        <m:r>
          <m:rPr>
            <m:sty m:val="p"/>
          </m:rPr>
          <m:t>|</m:t>
        </m:r>
      </m:oMath>
      <w:r>
        <w:t xml:space="preserve">) break the symmetric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oMath>
      <w:r>
        <w:t xml:space="preserve"> source structure and are outside the present proof; extending the operator and identifiability analysis to those electrolytes is a separate task.</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and the same operator serves as a computational instrument for identifiability. The DeepONet achieves 0.00089 potential and 0.00109 current relative </w:t>
      </w:r>
      <m:oMath xmlns:a="http://schemas.openxmlformats.org/drawingml/2006/main" xmlns:pic="http://schemas.openxmlformats.org/drawingml/2006/picture">
        <m:sSub>
          <m:e>
            <m:r>
              <m:t>L</m:t>
            </m:r>
          </m:e>
          <m:sub>
            <m:r>
              <m:t>2</m:t>
            </m:r>
          </m:sub>
        </m:sSub>
      </m:oMath>
      <w:r>
        <w:t xml:space="preserve"> error on held-out in-distribution states, retains 0.00136 current error out of distribution, and runs in 0.072 ms per state after ONNX export. In a five-way constrained comparison, charge-balanced outputs reduce median net-charge error from 0.238 for a matched direct-concentration loss to 0.207 while keeping current error 18% lower; the linear projection is statistically tied on net charge but leaves a finite charge-identity mismatch. Removing the physics loss increases current error by 54.3% for the DeepONet in-distribution and by 98.9% for the FNO out of distribution (corresponding to 35.2% and 49.7% error reductions when adding the physics term). A reference-free warm-started SG/FV controller reproduces the cold-solve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0.165 s per state, 5.3-fold below a full solve for Task A (forward solve) and 4.0-fold for Task B (reversal-potential root search). A 2,700-realization blind inverse study gives a dual current-plus-selectivity median charge error of 1.7% but only 68% 95% coverage at 1% noise; the reversal potential is state dependent (263% weak-charge, 7.3% strong-charge), so we report a bias-limited 2% recovery rather than calibrated sub-percent identification.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A spatial and parametric decomposition shows that the residual out-of-distribution error is concentrated in the wall EDL and reservoir transitions per unit reference, but cancels in the cross-sectionally integrated current.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Interpreted baselines qualify the accuracy claims: a calibrated linearized Poisson–Boltzmann model is stronger on current and OOD net charge, while the operator is competitive on potential and stronger on strong-charge fields and selectivity. The central physical result is a limit, not a speed-up: for symmetric binary electrolytes with nearly equal ionic diffusivities, such as KCl, and a conductance-only protocol, fixed wall charge is practically unidentifiable from symmetric-electrolyte conductance alone within the tested weak-to-moderate surface-charge regime and 0.2%–2% measurement noise protocols, as confirmed by the negative-</w:t>
      </w:r>
      <m:oMath xmlns:a="http://schemas.openxmlformats.org/drawingml/2006/main" xmlns:pic="http://schemas.openxmlformats.org/drawingml/2006/picture">
        <m:sSub>
          <m:e>
            <m:r>
              <m:t>q</m:t>
            </m:r>
          </m:e>
          <m:sub>
            <m:r>
              <m:t>w</m:t>
            </m:r>
          </m:sub>
        </m:sSub>
      </m:oMath>
      <w:r>
        <w:t xml:space="preserve"> Fisher plane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w:t>
      </w:r>
      <m:oMath xmlns:a="http://schemas.openxmlformats.org/drawingml/2006/main" xmlns:pic="http://schemas.openxmlformats.org/drawingml/2006/picture">
        <m:r>
          <m:t>99.1</m:t>
        </m:r>
      </m:oMath>
      <w:r>
        <w:t xml:space="preserve"> above </w:t>
      </w:r>
      <m:oMath xmlns:a="http://schemas.openxmlformats.org/drawingml/2006/main" xmlns:pic="http://schemas.openxmlformats.org/drawingml/2006/picture">
        <m:sSup>
          <m:e>
            <m:r>
              <m:t>10</m:t>
            </m:r>
          </m:e>
          <m:sup>
            <m:r>
              <m:t>8</m:t>
            </m:r>
          </m:sup>
        </m:sSup>
      </m:oMath>
      <w:r>
        <w:t>; 1%-noise CRLB 0.37% for radius but 86 for charge). Single- and multi-salt current–voltage sweeps do not remove this degeneracy. A dual current-plus-near-wall-selectivity protocol reaches 1.7% median charge error and 0.17% radius error in the blind Stage-20 study, but its 95% charge coverage is only 68% at 1% noise because a roughly 2% surrogate bias floor dominates the statistical interval. Strong surface charge lowers current error 23-fold relative to the Ohmic bulk approximation and makes the selectivity field accurately predictable, but it does not by itself make single-salt conductance identify charge. Experimentalists should therefore invest in charge-sensitive observables—a concentration-cell reversal potential or transference number, a streaming potential, or field-resolved near-wall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The permanently archived release is available at Zenodo DOI https://doi.org/10.5281/zenodo.23487404. The repository and Zenodo archive contain a comprehensive </w:t>
      </w:r>
      <w:r>
        <w:rPr>
          <w:rFonts w:ascii="Consolas" w:hAnsi="Consolas"/>
          <w:sz w:val="19"/>
        </w:rPr>
        <w:t>README.md</w:t>
      </w:r>
      <w:r>
        <w:t xml:space="preserve"> describing all files, installation, and execution instructions, alongside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executes that self-contained verification case. The repository contains the SG/FV reference solver, the 240-state dataset and the 384-state expansion used for the scaling study, the training and evaluation scripts, the Stage-10 ablation, scaling, and identifiability scripts, the Stage-11 constraint and Fisher-validation scripts, the Stage-12 diagnostics, the ONNX models, the browser simulator, and the Gradio application.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Surface-Charge-Governed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Solid-State Nanopores </w:t>
      </w:r>
      <w:r>
        <w:rPr>
          <w:i/>
        </w:rPr>
        <w:t>Nano Letters</w:t>
      </w:r>
      <w:r>
        <w:t>. doi:10.1021/nl052107w</w:t>
      </w:r>
    </w:p>
    <w:p>
      <w:pPr>
        <w:spacing w:after="60"/>
        <w:ind w:left="605" w:hanging="605"/>
      </w:pPr>
      <w:r>
        <w:t xml:space="preserve">[14] Kosińska, I. D., Goychuk, I., Kostur, M., et al. (2008). Rectification in synthetic conical nanopores: A one-dimensional Poisson-Nernst-Planck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Multi-Physics Fields </w:t>
      </w:r>
      <w:r>
        <w:rPr>
          <w:i/>
        </w:rPr>
        <w:t>Materials</w:t>
      </w:r>
      <w:r>
        <w:t>. doi:10.3390/ma14227012</w:t>
      </w:r>
    </w:p>
    <w:p>
      <w:pPr>
        <w:spacing w:after="60"/>
        <w:ind w:left="605" w:hanging="605"/>
      </w:pPr>
      <w:r>
        <w:t xml:space="preserve">[17] Coalson, R.D., Kurnikova, M.G.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Guo-Wei (2011). Second-order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D.L., Gummel, H.K. (1969). Large-signal analysis of a silicon Read diode oscillator </w:t>
      </w:r>
      <w:r>
        <w:rPr>
          <w:i/>
        </w:rPr>
        <w:t>IEEE Transactions on Electron Devices</w:t>
      </w:r>
      <w:r>
        <w:t>. doi:10.1109/t-ed.1969.16566</w:t>
      </w:r>
    </w:p>
    <w:p>
      <w:pPr>
        <w:spacing w:after="60"/>
        <w:ind w:left="605" w:hanging="605"/>
      </w:pPr>
      <w:r>
        <w:t xml:space="preserve">[27] Miller, J. J. H., Wang, Song (1994). An analysis of the Scharfetter-Gummel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Physics-informed machine learning </w:t>
      </w:r>
      <w:r>
        <w:rPr>
          <w:i/>
        </w:rPr>
        <w:t>Nature Reviews Physics</w:t>
      </w:r>
      <w:r>
        <w:t>. doi:10.1038/s42254-021-00314-5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I.E., Likas, A., Fotiadis, D.I.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Physics-informed neural networks with hard and soft boundary conditions for linear free surface waves </w:t>
      </w:r>
      <w:r>
        <w:rPr>
          <w:i/>
        </w:rPr>
        <w:t>Physics of Fluids</w:t>
      </w:r>
      <w:r>
        <w:t>. doi:10.1063/5.0277421</w:t>
      </w:r>
    </w:p>
    <w:p>
      <w:pPr>
        <w:spacing w:after="60"/>
        <w:ind w:left="605" w:hanging="605"/>
      </w:pPr>
      <w:r>
        <w:t xml:space="preserve">[38] Peng Lan, Jing-jing Su, Xin-yan Ma, et al. (2023). Application of improved physics-informed neural networks for nonlinear consolidation problems with continuous drainage boundary conditions </w:t>
      </w:r>
      <w:r>
        <w:rPr>
          <w:i/>
        </w:rPr>
        <w:t>Acta Geotechnica</w:t>
      </w:r>
      <w:r>
        <w:t>. doi:10.1007/s11440-023-01899-0</w:t>
      </w:r>
    </w:p>
    <w:p>
      <w:pPr>
        <w:spacing w:after="60"/>
        <w:ind w:left="605" w:hanging="605"/>
      </w:pPr>
      <w:r>
        <w:t xml:space="preserve">[39] Stefano Berrone, Claudio Canuto, Moreno Pintore, et al. (2023). Enforcing Dirichlet boundary conditions in physics-informed neural networks and variational physics-informed neural networks </w:t>
      </w:r>
      <w:r>
        <w:rPr>
          <w:i/>
        </w:rPr>
        <w:t>Heliyon</w:t>
      </w:r>
      <w:r>
        <w:t>. doi:10.1016/j.heliyon.2023.e18820</w:t>
      </w:r>
    </w:p>
    <w:p>
      <w:pPr>
        <w:spacing w:after="60"/>
        <w:ind w:left="605" w:hanging="605"/>
      </w:pPr>
      <w:r>
        <w:t xml:space="preserve">[40] Xinquan Huang, Tariq A. Alkhalifah (2024). Microseismic Source Imaging Using Physics-Informed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spacing w:after="60"/>
        <w:ind w:left="605" w:hanging="605"/>
      </w:pPr>
      <w:r>
        <w:t xml:space="preserve">[42] Huang, Xujia, Wang, Fajie, Zhang, Benrong, et al. (2025). Enriched physics-informed neural networks for dynamic Poisson-Nernst-Planck systems </w:t>
      </w:r>
      <w:r>
        <w:rPr>
          <w:i/>
        </w:rPr>
        <w:t>Mathematics and Computers in Simulation</w:t>
      </w:r>
      <w:r>
        <w:t>. doi:10.1016/j.matcom.2025.04.037</w:t>
      </w:r>
    </w:p>
    <w:p>
      <w:pPr>
        <w:spacing w:after="60"/>
        <w:ind w:left="605" w:hanging="605"/>
      </w:pPr>
      <w:r>
        <w:t xml:space="preserve">[43] Zheng, Jinglai, Huang, Jie, Huang, Haiming (2025). Physics-informed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T-phPINN: Physics-informed neural networks for solving 2D non-Fourier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lithium-ion battery health using attention mechanism with Kolmogorov-Arnold and physics-informed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doi:10.1038/s42256-021-00302-5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physics-informed DeepONets </w:t>
      </w:r>
      <w:r>
        <w:rPr>
          <w:i/>
        </w:rPr>
        <w:t>Science Advances</w:t>
      </w:r>
      <w:r>
        <w:t>. doi:10.1126/sciadv.abi8605</w:t>
      </w:r>
    </w:p>
    <w:p>
      <w:pPr>
        <w:spacing w:after="60"/>
        <w:ind w:left="605" w:hanging="605"/>
      </w:pPr>
      <w:r>
        <w:t xml:space="preserve">[50] Hwijae Son (2025). ELM-DeepONets: Backpropagation-Free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doi:10.1007/s00365-025-09718-3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D-FNO: A decomposed Fourier neural operator for large-scale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Ho-Youl Jung, et al. (2022). SSNO: Spatio-Spectral Neural Operator for Functional Space Learning of Partial Differential Equations </w:t>
      </w:r>
      <w:r>
        <w:rPr>
          <w:i/>
        </w:rPr>
        <w:t>IEEE Access</w:t>
      </w:r>
      <w:r>
        <w:t>. doi:10.1109/access.2022.3148401</w:t>
      </w:r>
    </w:p>
    <w:p>
      <w:pPr>
        <w:spacing w:after="60"/>
        <w:ind w:left="605" w:hanging="605"/>
      </w:pPr>
      <w:r>
        <w:t xml:space="preserve">[61] Thomas O’Leary-Roseberry, Umberto Villa, Peng Chen, Omar Ghattas (2022). Derivative-informed projected neural networks for high-dimensional parametric maps governed by PDEs </w:t>
      </w:r>
      <w:r>
        <w:rPr>
          <w:i/>
        </w:rPr>
        <w:t>Computer Methods in Applied Mechanics and Engineering</w:t>
      </w:r>
      <w:r>
        <w:t>. doi:10.1016/j.cma.2021.114199</w:t>
      </w:r>
    </w:p>
    <w:p>
      <w:pPr>
        <w:spacing w:after="60"/>
        <w:ind w:left="605" w:hanging="605"/>
      </w:pPr>
      <w:r>
        <w:t xml:space="preserve">[62] Lianghao Cao, Thomas O’Leary-Roseberry, Prashant K. Jha, J. Tinsley Oden, Omar Ghattas (2023). Residual-based error correction for neural operator accelerated infinite-dimensional Bayesian inverse problems </w:t>
      </w:r>
      <w:r>
        <w:rPr>
          <w:i/>
        </w:rPr>
        <w:t>Journal of Computational Physics</w:t>
      </w:r>
      <w:r>
        <w:t xml:space="preserve"> 486, 112104. doi:10.1016/j.jcp.2023.112104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