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19 October 2026</w:t>
      </w:r>
    </w:p>
    <w:p/>
    <w:p>
      <w:r>
        <w:rPr>
          <w:b/>
        </w:rPr>
        <w:t>To the Editors-in-Chief</w:t>
      </w:r>
    </w:p>
    <w:p>
      <w:r>
        <w:rPr>
          <w:i/>
        </w:rPr>
        <w:t>Journal of Computational Physics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"A parameter-conditioned physics-informed neural operator for axisymmetric Poisson--Nernst--Planck transport in charged nanopores"</w:t>
      </w:r>
      <w:r>
        <w:t xml:space="preserve"> for consideration at </w:t>
      </w:r>
      <w:r>
        <w:rPr>
          <w:i/>
        </w:rPr>
        <w:t>Journal of Computational Physics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 xml:space="preserve">This work is a natural fit for </w:t>
      </w:r>
      <w:r>
        <w:rPr>
          <w:i/>
        </w:rPr>
        <w:t>Journal of Computational Physics</w:t>
      </w:r>
      <w:r>
        <w:t xml:space="preserve"> because its core contribution is a numerical-methods result: a hard-constrained operator ansatz that removes subtractive cancellation in coupled Nernst–Planck fields, together with a controlled accuracy, ablation, and out-of-distribution study of two operator backbones against a conservative Scharfetter–Gummel finite-volume reference.</w:t>
      </w:r>
    </w:p>
    <w:p/>
    <w:p>
      <w:r>
        <w:t>This work advances decisively beyond my prior fixed-state deep-adaptive PINN study (submitted as COMPHY-D-26-00857), which solved the axisymmetric Poisson–Nernst–Planck (PNP) system for a single operating point at a time and required roughly 500 s of retraining per new state. The present manuscript replaces that per-state workflow with a single parameter-conditioned neural operator, and it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reparameterization.</w:t>
      </w:r>
      <w:r>
        <w:t xml:space="preserve"> The ansatz predicts a positive concentration sum </w:t>
      </w:r>
      <m:oMath xmlns:a="http://schemas.openxmlformats.org/drawingml/2006/main" xmlns:pic="http://schemas.openxmlformats.org/drawingml/2006/picture">
        <m:r>
          <m:t>s</m:t>
        </m:r>
      </m:oMath>
      <w:r>
        <w:t xml:space="preserve"> and a net charge </w:t>
      </w:r>
      <m:oMath xmlns:a="http://schemas.openxmlformats.org/drawingml/2006/main" xmlns:pic="http://schemas.openxmlformats.org/drawingml/2006/picture">
        <m:r>
          <m:t>ρ</m:t>
        </m:r>
      </m:oMath>
      <w:r>
        <w:t xml:space="preserve">, with the exponential envelope </w:t>
      </w: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and </w:t>
      </w:r>
      <m:oMath xmlns:a="http://schemas.openxmlformats.org/drawingml/2006/main" xmlns:pic="http://schemas.openxmlformats.org/drawingml/2006/picture">
        <m:r>
          <m:t>ρ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ρ</m:t>
            </m:r>
          </m:sub>
        </m:sSub>
      </m:oMath>
      <w:r>
        <w:t xml:space="preserve">, and reconstructs physical concentrations through the hyperbolic identity 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>. This enforces the reservoir boundary conditions exactly and removes the subtractive cancellation that limits net-charge accuracy, reducing net-charge error 8.63-fold (DeepONet) and 10.29-fold (FNO) relative to a direct-concentration output.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against a four-layer real-DFT Fourier neural operator with 12.5-fold more parameters (460,488), across both in-distribution and out-of-distribution Debye-overlap regimes. The DeepONet is 6.16-fold more accurate in potential and 7.79-fold more accurate in current in-distribution, while the FNO is better for net charge and cation concentration out of distribution, isolating where each architecture succeeds.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runs roughly 3,200-fold faster than the finite-volume reference solver. A Fisher-information analysis and a 15-state, three-protocol study reveal a physical conductance identifiability boundary: the pore radius is recoverable from a five-bias current–voltage curve to 0.46%, whereas the surface charge is a flat direction whose current signature stays below the 1% noise floor at every operating point. Neither single-salt nor multi-salt current–voltage data resolve that charge; adding an independent near-wall selectivity observable recovers both radius and wall charge to below 0.3%.</w:t>
      </w:r>
    </w:p>
    <w:p/>
    <w:p>
      <w:r>
        <w:t xml:space="preserve">5. </w:t>
      </w:r>
      <w:r>
        <w:rPr>
          <w:b/>
        </w:rPr>
        <w:t>Scope-bounding ablations.</w:t>
      </w:r>
      <w:r>
        <w:t xml:space="preserve"> A trunk ablation at matched capacity shows that the multi-scale radial basis is a modest near-wall inductive bias rather than a necessity (about 7% lower wall-gradient error, no bulk-accuracy advantage), and a nested 384-state study gives an in-distribution data-scaling exponent of 0.55 close to the expected N^−1/2, while out-of-distribution error is nearly data-insensitive.</w:t>
      </w:r>
    </w:p>
    <w:p/>
    <w:p>
      <w:r>
        <w:t xml:space="preserve">6. </w:t>
      </w:r>
      <w:r>
        <w:rPr>
          <w:b/>
        </w:rPr>
        <w:t>Reproducibility and an interactive tool.</w:t>
      </w:r>
      <w:r>
        <w:t xml:space="preserve"> A verified 240-state benchmark plus a 384-state scaling expansion, trained seed-42 models in PyTorch and ONNX, archived result files, a serverless browser simulator, and an MIT-licensed reproducibility package accompany the manuscript. Every number in the paper is traceable to an archived artifact.</w:t>
      </w:r>
    </w:p>
    <w:p/>
    <w:p>
      <w:r>
        <w:t xml:space="preserve">7. </w:t>
      </w:r>
      <w:r>
        <w:rPr>
          <w:b/>
        </w:rPr>
        <w:t>A four-way constraint benchmark and an exact Jacobian validation.</w:t>
      </w:r>
      <w:r>
        <w:t xml:space="preserve"> Under an identical PI-DeepONet backbone and three seeds, the hyperbolic reparameterization matches the best projection scheme in accuracy while keeping the charge identity exact to machine precision, and a physics-weight sweep identifies </w:t>
      </w:r>
      <m:oMath xmlns:a="http://schemas.openxmlformats.org/drawingml/2006/main" xmlns:pic="http://schemas.openxmlformats.org/drawingml/2006/picture"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as the Pareto point. A centered finite-difference Jacobian of the float64 SG/FV solver validates the operator's Fisher analysis: the two agree on </w:t>
      </w:r>
      <m:oMath xmlns:a="http://schemas.openxmlformats.org/drawingml/2006/main" xmlns:pic="http://schemas.openxmlformats.org/drawingml/2006/picture">
        <m:r>
          <m:rPr>
            <m:sty m:val="p"/>
          </m:rPr>
          <m:t>∂</m:t>
        </m:r>
        <m:r>
          <m:rPr>
            <m:sty m:val="p"/>
          </m:rPr>
          <m:t>ln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R</m:t>
        </m:r>
      </m:oMath>
      <w:r>
        <w:t xml:space="preserve"> to </w:t>
      </w:r>
      <m:oMath xmlns:a="http://schemas.openxmlformats.org/drawingml/2006/main" xmlns:pic="http://schemas.openxmlformats.org/drawingml/2006/picture">
        <m:r>
          <m:t>1.5</m:t>
        </m:r>
        <m:r>
          <m:t>i</m:t>
        </m:r>
        <m:r>
          <m:t>m</m:t>
        </m:r>
        <m:r>
          <m:t>e</m:t>
        </m:r>
        <m:r>
          <m:t>s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>, and both collapse the charge-conditioning number by ten orders of magnitude once the near-wall selectivity observable is added.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https://pino.statwhy.com/.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