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parameter-conditioned physics-informed neural operator for axisymmetric Poisson–Nernst–Planck transport in charged nanopores</w:t>
      </w:r>
    </w:p>
    <w:p>
      <w:r>
        <w:rPr>
          <w:b/>
        </w:rPr>
        <w:t>Javad Alizargar</w:t>
      </w:r>
    </w:p>
    <w:p>
      <w:r>
        <w:t>Department of Nursing, National Taipei University of Nursing and Health Sciences, No. 365, Mingde Rd, Beitou District, Taipei City 112, Taiwan</w:t>
      </w:r>
    </w:p>
    <w:p>
      <w:r>
        <w:t>Corresponding author: 8javad@ntunhs.edu.tw | ORCID: 0000-0003-2966-1315</w:t>
      </w:r>
    </w:p>
    <w:p>
      <w:pPr>
        <w:pStyle w:val="Heading2"/>
      </w:pPr>
      <w:r>
        <w:t>Highlights</w:t>
      </w:r>
    </w:p>
    <w:p>
      <w:pPr>
        <w:pStyle w:val="ListBullet"/>
      </w:pPr>
      <w:r>
        <w:t>A physics-informed DeepONet maps four PNP parameters to fields in 0.072 ms.</w:t>
      </w:r>
    </w:p>
    <w:p>
      <w:pPr>
        <w:pStyle w:val="ListBullet"/>
      </w:pPr>
      <w:r>
        <w:t>Charge-balanced reparameterization cuts net-charge error 8.63–10.29-fold.</w:t>
      </w:r>
    </w:p>
    <w:p>
      <w:pPr>
        <w:pStyle w:val="ListBullet"/>
      </w:pPr>
      <w:r>
        <w:t>Break-even versus Scharfetter–Gummel solving is 459 parameter states.</w:t>
      </w:r>
    </w:p>
    <w:p>
      <w:pPr>
        <w:pStyle w:val="ListBullet"/>
      </w:pPr>
      <w:r>
        <w:t xml:space="preserve">ONNX matches PyTorch within </w:t>
      </w:r>
      <m:oMath xmlns:a="http://schemas.openxmlformats.org/drawingml/2006/main" xmlns:pic="http://schemas.openxmlformats.org/drawingml/2006/picture">
        <m:r>
          <m:t>3.6</m:t>
        </m:r>
        <m:r>
          <m:rPr>
            <m:sty m:val="p"/>
          </m:rPr>
          <m:t>×</m:t>
        </m:r>
        <m:sSup>
          <m:e>
            <m:r>
              <m:t>10</m:t>
            </m:r>
          </m:e>
          <m:sup>
            <m:r>
              <m:rPr>
                <m:sty m:val="p"/>
              </m:rPr>
              <m:t>−</m:t>
            </m:r>
            <m:r>
              <m:t>7</m:t>
            </m:r>
          </m:sup>
        </m:sSup>
      </m:oMath>
      <w:r>
        <w:t xml:space="preserve"> in browser and Gradio apps.</w:t>
      </w:r>
    </w:p>
    <w:p>
      <w:pPr>
        <w:pStyle w:val="ListBullet"/>
      </w:pPr>
      <w:r>
        <w:t>A selectivity probe recovers wall charge that conductance-only inversion cannot.</w:t>
      </w:r>
    </w:p>
    <w:p>
      <w:pPr>
        <w:pStyle w:val="Heading2"/>
      </w:pPr>
      <w:r>
        <w:t>Abstract</w:t>
      </w:r>
    </w:p>
    <w:p>
      <w:r>
        <w:t xml:space="preserve">Physics-informed neural networks (PINNs) solve the Poisson–Nernst–Planck (PNP) equations one operating point at a time, so design sweeps and inverse problems require repeated retraining. We instead learn the solution operator of the steady axisymmetric PNP equations over a four-dimensional parameter space of applied voltage, bulk concentration, wall charge, and pore radius. A 240-state benchmark is generated with a conservative Scharfetter–Gummel finite-volume solver (maximum residual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Two parameter-conditioned backbones are compared: a multi-scale radial physics-informed DeepONet (36,880 parameters) and a four-layer real-DFT Fourier neural operator (460,488 parameters). Both predict a positive concentration sum and a net charge and recover physical concentrations hyperbolically, so reservoir Dirichlet data and charge consistency are imposed exactly. On held-out in-distribution states the DeepONet attains a mean relative </w:t>
      </w:r>
      <m:oMath xmlns:a="http://schemas.openxmlformats.org/drawingml/2006/main" xmlns:pic="http://schemas.openxmlformats.org/drawingml/2006/picture">
        <m:sSub>
          <m:e>
            <m:r>
              <m:t>L</m:t>
            </m:r>
          </m:e>
          <m:sub>
            <m:r>
              <m:t>2</m:t>
            </m:r>
          </m:sub>
        </m:sSub>
      </m:oMath>
      <w:r>
        <w:t xml:space="preserve"> error of 0.0008914 for potential and 0.001093 for current, 6.16-fold and 7.79-fold better than the FNO, while out-of-distribution current error stays at 0.001363. The charge-balanced parameterization reduces net-charge error 8.63-fold (DeepONet) and 10.29-fold (FNO). A trunk ablation shows the radial basis improves the wall gradient about 7% without a bulk-accuracy advantage, and a nested 384-state study gives an in-distribution error scaling as </w:t>
      </w:r>
      <m:oMath xmlns:a="http://schemas.openxmlformats.org/drawingml/2006/main" xmlns:pic="http://schemas.openxmlformats.org/drawingml/2006/picture">
        <m:sSup>
          <m:e>
            <m:r>
              <m:t>N</m:t>
            </m:r>
          </m:e>
          <m:sup>
            <m:r>
              <m:rPr>
                <m:sty m:val="p"/>
              </m:rPr>
              <m:t>−</m:t>
            </m:r>
            <m:r>
              <m:t>0.55</m:t>
            </m:r>
          </m:sup>
        </m:sSup>
      </m:oMath>
      <w:r>
        <w:t>. A Fisher analysis shows that wall charge is a flat direction for conductance-only inversion everywhere; single- and multi-salt current–voltage protocols leave it unidentifiable, whereas a near-wall selectivity observable recovers both radius and wall charge below 0.3%. The ONNX model runs in 0.07165 ms per state, breaks even after 459.2 dataset-mean states, and is deployed in browser and Gradio interfaces.</w:t>
      </w:r>
    </w:p>
    <w:p>
      <w:r>
        <w:rPr>
          <w:b/>
        </w:rPr>
        <w:t>Keywords:</w:t>
      </w:r>
      <w:r>
        <w:t xml:space="preserve"> Poisson–Nernst–Planck; nanopore; neural operator; DeepONet; Fourier neural operator; physics-informed machine learning; inverse problem</w:t>
      </w:r>
    </w:p>
    <w:p>
      <w:pPr>
        <w:pStyle w:val="Heading2"/>
      </w:pPr>
      <w:r>
        <w:t>CPC Program Summary</w:t>
      </w:r>
    </w:p>
    <w:p>
      <w:r>
        <w:rPr>
          <w:b/>
        </w:rPr>
        <w:t>Program title:</w:t>
      </w:r>
      <w:r>
        <w:t xml:space="preserve"> PINO-Nanopore</w:t>
      </w:r>
    </w:p>
    <w:p>
      <w:r>
        <w:rPr>
          <w:b/>
        </w:rPr>
        <w:t>Software name:</w:t>
      </w:r>
      <w:r>
        <w:t xml:space="preserve"> </w:t>
      </w:r>
      <w:r>
        <w:rPr>
          <w:rFonts w:ascii="Consolas" w:hAnsi="Consolas"/>
          <w:sz w:val="19"/>
        </w:rPr>
        <w:t>nanopore-pino-surrogate</w:t>
      </w:r>
    </w:p>
    <w:p>
      <w:r>
        <w:rPr>
          <w:b/>
        </w:rPr>
        <w:t>Program obtainable from:</w:t>
      </w:r>
      <w:r>
        <w:t xml:space="preserve"> https://github.com/Javad-Alizargar/nanopore-pino-surrogate</w:t>
      </w:r>
    </w:p>
    <w:p>
      <w:r>
        <w:rPr>
          <w:b/>
        </w:rPr>
        <w:t>CPC Library link to program files:</w:t>
      </w:r>
      <w:r>
        <w:t xml:space="preserve"> added by the CPC Technical Editor upon acceptance</w:t>
      </w:r>
    </w:p>
    <w:p>
      <w:r>
        <w:rPr>
          <w:b/>
        </w:rPr>
        <w:t>Licensing provisions:</w:t>
      </w:r>
      <w:r>
        <w:t xml:space="preserve"> MIT License (Copyright 2026 Javad Alizargar)</w:t>
      </w:r>
    </w:p>
    <w:p>
      <w:r>
        <w:rPr>
          <w:b/>
        </w:rPr>
        <w:t>Distribution format:</w:t>
      </w:r>
      <w:r>
        <w:t xml:space="preserve"> Source code (Python and JavaScript), ONNX models, CSV/JSON data, and documentation</w:t>
      </w:r>
    </w:p>
    <w:p>
      <w:r>
        <w:rPr>
          <w:b/>
        </w:rPr>
        <w:t>Programming language:</w:t>
      </w:r>
      <w:r>
        <w:t xml:space="preserve"> Python 3.14; JavaScript ES6</w:t>
      </w:r>
    </w:p>
    <w:p>
      <w:r>
        <w:rPr>
          <w:b/>
        </w:rPr>
        <w:t>Computer:</w:t>
      </w:r>
      <w:r>
        <w:t xml:space="preserve"> Apple M1 (arm64); any x86-64 or arm64 machine with Python 3.10+ and a modern browser</w:t>
      </w:r>
    </w:p>
    <w:p>
      <w:r>
        <w:rPr>
          <w:b/>
        </w:rPr>
        <w:t>Operating system:</w:t>
      </w:r>
      <w:r>
        <w:t xml:space="preserve"> macOS 14.1 (tested); Linux and Windows are supported by the dependencies</w:t>
      </w:r>
    </w:p>
    <w:p>
      <w:r>
        <w:rPr>
          <w:b/>
        </w:rPr>
        <w:t>RAM:</w:t>
      </w:r>
      <w:r>
        <w:t xml:space="preserve"> 8 GB minimum; 16 GB recommended</w:t>
      </w:r>
    </w:p>
    <w:p>
      <w:r>
        <w:rPr>
          <w:b/>
        </w:rPr>
        <w:t>Number of processors used:</w:t>
      </w:r>
      <w:r>
        <w:t xml:space="preserve"> 1 CPU core (no GPU required)</w:t>
      </w:r>
    </w:p>
    <w:p>
      <w:r>
        <w:rPr>
          <w:b/>
        </w:rPr>
        <w:t>Parallelization:</w:t>
      </w:r>
      <w:r>
        <w:t xml:space="preserve"> Serial; batched ONNX inference and single-threaded browser inference</w:t>
      </w:r>
    </w:p>
    <w:p>
      <w:r>
        <w:rPr>
          <w:b/>
        </w:rPr>
        <w:t>Keywords:</w:t>
      </w:r>
      <w:r>
        <w:t xml:space="preserve"> Poisson–Nernst–Planck; nanopore; neural operator; DeepONet; Fourier neural operator; physics-informed machine learning; inverse problem</w:t>
      </w:r>
    </w:p>
    <w:p>
      <w:r>
        <w:rPr>
          <w:b/>
        </w:rPr>
        <w:t>Classification:</w:t>
      </w:r>
      <w:r>
        <w:t xml:space="preserve"> 02.70.-c (computational techniques); 87.16.dj (membranes and bilayers)</w:t>
      </w:r>
    </w:p>
    <w:p>
      <w:r>
        <w:rPr>
          <w:b/>
        </w:rPr>
        <w:t>Nature of the problem:</w:t>
      </w:r>
      <w:r>
        <w:t xml:space="preserve"> Steady, axisymmetric Poisson–Nernst–Planck transport of a symmetric binary electrolyte in a charged cylindrical nanopore. The solver must represent the potential, both ion concentrations, the net charge density, and the axial current over a four-dimensional operating space: applied voltage, bulk concentration, wall charge strength, and pore radius. Repeated high-fidelity finite-volume solves are accurate but cost about 0.2 s each, which is prohibitive for design sweeps, uncertainty quantification, and inverse parameter estimation.</w:t>
      </w:r>
    </w:p>
    <w:p>
      <w:r>
        <w:rPr>
          <w:b/>
        </w:rPr>
        <w:t>Solution method:</w:t>
      </w:r>
      <w:r>
        <w:t xml:space="preserve"> A conservative Scharfetter–Gummel finite-volume reference solver generates a verified 240-state dataset. Two parameter-conditioned operator backbones are trained: a multi-scale radial physics-informed DeepONet and a parameter-conditioned two-dimensional Fourier neural operator. Both use an exact-reservoir Dirichlet ansatz and a charge-balanced field parameterization that guarantees positive concentrations and an exact algebraic charge identity. Models are exported to ONNX and served by a static browser simulator (JavaScript) and a Gradio application.</w:t>
      </w:r>
    </w:p>
    <w:p>
      <w:r>
        <w:rPr>
          <w:b/>
        </w:rPr>
        <w:t>Restrictions and unusual features:</w:t>
      </w:r>
      <w:r>
        <w:t xml:space="preserve"> The model is two-dimensional and axisymmetric; it neglects steric effects, electro-osmotic convection, surface chemistry, and pore-wall roughness. Temperature, permittivity, and ionic diffusivities are fixed. The operator is trained on in-distribution ranges of </w:t>
      </w:r>
      <m:oMath xmlns:a="http://schemas.openxmlformats.org/drawingml/2006/main" xmlns:pic="http://schemas.openxmlformats.org/drawingml/2006/picture">
        <m:r>
          <m:rPr>
            <m:sty m:val="p"/>
          </m:rPr>
          <m:t>−</m:t>
        </m:r>
        <m:r>
          <m:t>50</m:t>
        </m:r>
      </m:oMath>
      <w:r>
        <w:t xml:space="preserve"> to 50 mV, 20–200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rPr>
            <m:sty m:val="p"/>
          </m:rPr>
          <m:t>−</m:t>
        </m:r>
        <m:r>
          <m:t>0.05</m:t>
        </m:r>
        <m:r>
          <m:rPr>
            <m:sty m:val="p"/>
          </m:rPr>
          <m:t>,</m:t>
        </m:r>
        <m:r>
          <m:t>0</m:t>
        </m:r>
        <m:r>
          <m:rPr>
            <m:sty m:val="p"/>
          </m:rPr>
          <m:t>]</m:t>
        </m:r>
      </m:oMath>
      <w:r>
        <w:t>, and 3–8 nm radius; extrapolation beyond these ranges is not certified. The package includes a dual-engine browser simulator that can switch between the operator and an in-browser SG/FV solve.</w:t>
      </w:r>
    </w:p>
    <w:p>
      <w:r>
        <w:rPr>
          <w:b/>
        </w:rPr>
        <w:t>Running time:</w:t>
      </w:r>
      <w:r>
        <w:t xml:space="preserve"> Dataset generation 59.2 s; DeepONet training 50.6 s for 500 epochs; FNO training 108.5 s for 110 epochs; single-state inference 0.072 ms (DeepONet) and 1.04 ms (FNO) on an Apple M1 CPU. The Stage-10 studies add 29.6 s to generate the 144-state expansion, 50 s per 500-epoch trunk-ablation model, and 25 s per 250-epoch scaling model.</w:t>
      </w:r>
    </w:p>
    <w:p>
      <w:pPr>
        <w:pStyle w:val="Heading2"/>
      </w:pPr>
      <w:r>
        <w:t>1. Introduction</w:t>
      </w:r>
    </w:p>
    <w:p>
      <w:r>
        <w:t>Nanopores and nanofluidic channels convert molecular-scale charge and geometry into measurable ionic currents, and they underpin single-molecule sensing and sequencing [1–6]. In confined geometries the electrical double layer (EDL) can overlap, so ion transport departs from bulk conductance [7–11]. Surface charge, salt concentration, pore radius, and applied voltage jointly set selectivity and rectification [12–16], and the PNP system remains the standard continuum description of these effects [17–19]. EDL overlap, charge regulation, and electrokinetic dispersion further modify conduction in narrow pores [20–23], and the same physics underlies emerging iontronic and nanofluidic devices [24, 25].</w:t>
      </w:r>
    </w:p>
    <w:p>
      <w:r>
        <w:t>Numerical solution of PNP is well understood. Scharfetter–Gummel (SG) discretizations, introduced for semiconductor carrier transport [26], and conservative finite-volume formulations [27] provide stable, accurate currents on moderate grids. A single axisymmetric solve on a 21 x 61 grid takes about 0.2 s on a modern laptop, which is acceptable for one operating point but not for the thousands of evaluations demanded by parameter sweeps, sensitivity analysis, design optimization, or inverse estimation. The cost is compounded when a neural surrogate is trained per state.</w:t>
      </w:r>
    </w:p>
    <w:p>
      <w:r>
        <w:t xml:space="preserve">Physics-informed neural networks (PINNs) [28–31] remove the need for labeled data but are typically trained for one parameter set at a time, and they are sensitive to gradient-flow pathologies and failure modes [32, 33]. Hard-constraint formulations improve conditioning and enforce boundary data exactly [34–40], and extended or domain-decomposed variants enlarge the admissible geometry [33, 41]. For PNP specifically, enriched and physics-informed variants have been reported [42, 43], operator variants such as CF-DeepONet and T-phPINN have been applied to adjacent transport problems [44, 45], and physics-informed surrogates have been used for battery-health prediction [46]. A previously reported fixed-state discontinuous-Galerkin DA-PINN for nanopore transport (COMPHY-D-26-00857) reached a potential relative L2 error of </w:t>
      </w:r>
      <m:oMath xmlns:a="http://schemas.openxmlformats.org/drawingml/2006/main" xmlns:pic="http://schemas.openxmlformats.org/drawingml/2006/picture">
        <m:r>
          <m:t>3.82</m:t>
        </m:r>
        <m:r>
          <m:rPr>
            <m:sty m:val="p"/>
          </m:rPr>
          <m:t>×</m:t>
        </m:r>
        <m:sSup>
          <m:e>
            <m:r>
              <m:t>10</m:t>
            </m:r>
          </m:e>
          <m:sup>
            <m:r>
              <m:rPr>
                <m:sty m:val="p"/>
              </m:rPr>
              <m:t>−</m:t>
            </m:r>
            <m:r>
              <m:t>4</m:t>
            </m:r>
          </m:sup>
        </m:sSup>
      </m:oMath>
      <w:r>
        <w:t xml:space="preserve"> but required roughly 500 s of retraining per state. That trade-off motivates the present work: if the parameter dependence can be learned once, the per-query cost falls by orders of magnitude.</w:t>
      </w:r>
    </w:p>
    <w:p>
      <w:r>
        <w:t>Operator learning provides the required map from parameters to fields. DeepONet approximates nonlinear operators through a branch–trunk inner product [47], with error estimates in infinite dimensions [48], physics-informed DeepONet formulations [49], and several recent architectural and training variants [50–53]. Fourier neural operators (FNOs) learn global convolutions in a spectral basis [54, 55] and have been extended to parametric and physics-informed settings [56–60]. Neural Green's operators offer another route to parametric PDE solution [59]. The central difficulty for transport in charged pores is not representational capacity but constraint satisfaction: potentials must satisfy reservoir Dirichlet data, concentrations must remain positive, and the predicted charge must equal the difference of the predicted concentrations. Unconstrained outputs violate these requirements, and the resulting errors are largest precisely where the net charge is small.</w:t>
      </w:r>
    </w:p>
    <w:p>
      <w:r>
        <w:t xml:space="preserve">This paper advances that program on several fronts. We first build a verified 240-state, four-dimensional PNP benchmark with deterministic train, interpolation, and out-of-distribution splits and strict acceptance criteria (maximum residual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minimum anion concentration 0.8034). We then introduce a charge-balanced, exact-reservoir parameterization that predicts a positive concentration sum and a net charge and reconstructs physical concentrations hyperbolically, so that the algebraic charge identity is satisfied to </w:t>
      </w:r>
      <m:oMath xmlns:a="http://schemas.openxmlformats.org/drawingml/2006/main" xmlns:pic="http://schemas.openxmlformats.org/drawingml/2006/picture">
        <m:r>
          <m:t>1.110</m:t>
        </m:r>
        <m:r>
          <m:rPr>
            <m:sty m:val="p"/>
          </m:rPr>
          <m:t>×</m:t>
        </m:r>
        <m:sSup>
          <m:e>
            <m:r>
              <m:t>10</m:t>
            </m:r>
          </m:e>
          <m:sup>
            <m:r>
              <m:rPr>
                <m:sty m:val="p"/>
              </m:rPr>
              <m:t>−</m:t>
            </m:r>
            <m:r>
              <m:t>16</m:t>
            </m:r>
          </m:sup>
        </m:sSup>
      </m:oMath>
      <w:r>
        <w:t xml:space="preserve">. On top of this parameterization we train two parameter-conditioned backbones, a multi-scale radial PI-DeepONet (36,880 parameters) and a four-layer real-DFT FNO (460,488 parameters), with three seeds each and evaluation on both the interpolation and out-of-distribution splits. A controlled ablation isolates the two design decisions: charge reparameterization reduces net-charge error by 8.63-fold (DeepONet) and 10.29-fold (FNO), while the physics loss reduces current error by 35.2% for the DeepONet on the interpolation split and 49.7% for the FNO out of distribution. Three further studies define the method's scope. A trunk ablation compares the multi-scale radial basis against a plain MLP trunk and single-scale radial variants at matched capacity, showing that the radial features reduce the wall-gradient error by about 7% without a bulk-accuracy advantage, so the radial trunk is treated as a design choice rather than a necessity. A nested 384-state experiment gives an empirical data-scaling exponent of 0.55 for in-distribution error, close to the expected </w:t>
      </w:r>
      <m:oMath xmlns:a="http://schemas.openxmlformats.org/drawingml/2006/main" xmlns:pic="http://schemas.openxmlformats.org/drawingml/2006/picture">
        <m:sSup>
          <m:e>
            <m:r>
              <m:t>N</m:t>
            </m:r>
          </m:e>
          <m:sup>
            <m:r>
              <m:rPr>
                <m:sty m:val="p"/>
              </m:rPr>
              <m:t>−</m:t>
            </m:r>
            <m:r>
              <m:t>1</m:t>
            </m:r>
            <m:r>
              <m:rPr>
                <m:sty m:val="p"/>
              </m:rPr>
              <m:t>/</m:t>
            </m:r>
            <m:r>
              <m:t>2</m:t>
            </m:r>
          </m:sup>
        </m:sSup>
      </m:oMath>
      <w:r>
        <w:t xml:space="preserve">, while out-of-distribution error is nearly data-insensitive (exponent 0.13). A Fisher-information and multi-protocol inversion study shows that the current sensitivity to wall charge is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sSub>
          <m:e>
            <m:r>
              <m:t>q</m:t>
            </m:r>
          </m:e>
          <m:sub>
            <m:r>
              <m:t>w</m:t>
            </m:r>
          </m:sub>
        </m:sSub>
        <m:r>
          <m:rPr>
            <m:sty m:val="p"/>
          </m:rPr>
          <m:t>≲</m:t>
        </m:r>
        <m:r>
          <m:t>1.6</m:t>
        </m:r>
        <m:r>
          <m:rPr>
            <m:sty m:val="p"/>
          </m:rPr>
          <m:t>×</m:t>
        </m:r>
        <m:sSup>
          <m:e>
            <m:r>
              <m:t>10</m:t>
            </m:r>
          </m:e>
          <m:sup>
            <m:r>
              <m:rPr>
                <m:sty m:val="p"/>
              </m:rPr>
              <m:t>−</m:t>
            </m:r>
            <m:r>
              <m:t>3</m:t>
            </m:r>
          </m:sup>
        </m:sSup>
      </m:oMath>
      <w:r>
        <w:t xml:space="preserve"> at every operating point, giving condition numbers above </w:t>
      </w:r>
      <m:oMath xmlns:a="http://schemas.openxmlformats.org/drawingml/2006/main" xmlns:pic="http://schemas.openxmlformats.org/drawingml/2006/picture">
        <m:sSup>
          <m:e>
            <m:r>
              <m:t>10</m:t>
            </m:r>
          </m:e>
          <m:sup>
            <m:r>
              <m:t>8</m:t>
            </m:r>
          </m:sup>
        </m:sSup>
      </m:oMath>
      <w:r>
        <w:t xml:space="preserve">; single- and multi-salt current–voltage protocols therefore leave wall charge unidentifiable, whereas adding an independent near-wall selectivity observable recovers both radius and wall charge to below 0.3%. To connect accuracy to practice, we export both models to ONNX and analyze deployment and amortization, reporting 0.07165 ms inference, break-even after 459.2 dataset-mean states, and a browser and Gradio stack that matches PyTorch to </w:t>
      </w:r>
      <m:oMath xmlns:a="http://schemas.openxmlformats.org/drawingml/2006/main" xmlns:pic="http://schemas.openxmlformats.org/drawingml/2006/picture">
        <m:r>
          <m:t>3.6</m:t>
        </m:r>
        <m:r>
          <m:rPr>
            <m:sty m:val="p"/>
          </m:rPr>
          <m:t>×</m:t>
        </m:r>
        <m:sSup>
          <m:e>
            <m:r>
              <m:t>10</m:t>
            </m:r>
          </m:e>
          <m:sup>
            <m:r>
              <m:rPr>
                <m:sty m:val="p"/>
              </m:rPr>
              <m:t>−</m:t>
            </m:r>
            <m:r>
              <m:t>7</m:t>
            </m:r>
          </m:sup>
        </m:sSup>
      </m:oMath>
      <w:r>
        <w:t>.</w:t>
      </w:r>
    </w:p>
    <w:p>
      <w:r>
        <w:t>The remainder of the paper describes the model and reference solver (Section 2), reports accuracy, ablation, timing, deployment, and inversion results (Section 3), and discusses scope and limitations (Section 4).</w:t>
      </w:r>
    </w:p>
    <w:p>
      <w:pPr>
        <w:pStyle w:val="Heading2"/>
      </w:pPr>
      <w:r>
        <w:t>2. Methods</w:t>
      </w:r>
    </w:p>
    <w:p>
      <w:pPr>
        <w:pStyle w:val="Heading3"/>
      </w:pPr>
      <w:r>
        <w:t>2.1 Physical model and dimensionless form</w:t>
      </w:r>
    </w:p>
    <w:p>
      <w:r>
        <w:t xml:space="preserve">We consider a rigid, straight cylindrical pore of radius </w:t>
      </w:r>
      <m:oMath xmlns:a="http://schemas.openxmlformats.org/drawingml/2006/main" xmlns:pic="http://schemas.openxmlformats.org/drawingml/2006/picture">
        <m:r>
          <m:t>R</m:t>
        </m:r>
      </m:oMath>
      <w:r>
        <w:t xml:space="preserve"> and length </w:t>
      </w:r>
      <m:oMath xmlns:a="http://schemas.openxmlformats.org/drawingml/2006/main" xmlns:pic="http://schemas.openxmlformats.org/drawingml/2006/picture">
        <m:r>
          <m:t>L</m:t>
        </m:r>
        <m:r>
          <m:rPr>
            <m:sty m:val="p"/>
          </m:rPr>
          <m:t>=</m:t>
        </m:r>
        <m:r>
          <m:t>30</m:t>
        </m:r>
      </m:oMath>
      <w:r>
        <w:t xml:space="preserve"> nm connecting two reservoirs at temperature </w:t>
      </w:r>
      <m:oMath xmlns:a="http://schemas.openxmlformats.org/drawingml/2006/main" xmlns:pic="http://schemas.openxmlformats.org/drawingml/2006/picture">
        <m:r>
          <m:t>T</m:t>
        </m:r>
        <m:r>
          <m:rPr>
            <m:sty m:val="p"/>
          </m:rPr>
          <m:t>=</m:t>
        </m:r>
        <m:r>
          <m:t>298.15</m:t>
        </m:r>
      </m:oMath>
      <w:r>
        <w:t xml:space="preserve"> K. The pore is filled with a symmetric binary electrolyte of bulk concentration </w:t>
      </w:r>
      <m:oMath xmlns:a="http://schemas.openxmlformats.org/drawingml/2006/main" xmlns:pic="http://schemas.openxmlformats.org/drawingml/2006/picture">
        <m:sSub>
          <m:e>
            <m:r>
              <m:t>C</m:t>
            </m:r>
          </m:e>
          <m:sub>
            <m:r>
              <m:t>0</m:t>
            </m:r>
          </m:sub>
        </m:sSub>
      </m:oMath>
      <w:r>
        <w:t xml:space="preserve">; the cation and anion diffusivities are </w:t>
      </w:r>
      <m:oMath xmlns:a="http://schemas.openxmlformats.org/drawingml/2006/main" xmlns:pic="http://schemas.openxmlformats.org/drawingml/2006/picture">
        <m:sSub>
          <m:e>
            <m:r>
              <m:t>D</m:t>
            </m:r>
          </m:e>
          <m:sub>
            <m:r>
              <m:rPr>
                <m:sty m:val="p"/>
              </m:rPr>
              <m:t>+</m:t>
            </m:r>
          </m:sub>
        </m:sSub>
        <m:r>
          <m:rPr>
            <m:sty m:val="p"/>
          </m:rPr>
          <m:t>=</m:t>
        </m:r>
        <m:r>
          <m:t>1.96</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The relative permittivity is </w:t>
      </w:r>
      <m:oMath xmlns:a="http://schemas.openxmlformats.org/drawingml/2006/main" xmlns:pic="http://schemas.openxmlformats.org/drawingml/2006/picture">
        <m:sSub>
          <m:e>
            <m:r>
              <m:t>ε</m:t>
            </m:r>
          </m:e>
          <m:sub>
            <m:r>
              <m:t>r</m:t>
            </m:r>
          </m:sub>
        </m:sSub>
        <m:r>
          <m:rPr>
            <m:sty m:val="p"/>
          </m:rPr>
          <m:t>=</m:t>
        </m:r>
        <m:r>
          <m:t>78.5</m:t>
        </m:r>
      </m:oMath>
      <w:r>
        <w:t xml:space="preserve">. A uniform surface charge of strength </w:t>
      </w:r>
      <m:oMath xmlns:a="http://schemas.openxmlformats.org/drawingml/2006/main" xmlns:pic="http://schemas.openxmlformats.org/drawingml/2006/picture">
        <m:sSub>
          <m:e>
            <m:r>
              <m:t>q</m:t>
            </m:r>
          </m:e>
          <m:sub>
            <m:r>
              <m:t>w</m:t>
            </m:r>
          </m:sub>
        </m:sSub>
      </m:oMath>
      <w:r>
        <w:t xml:space="preserve"> is imposed on the wall, and an axial voltage </w:t>
      </w:r>
      <m:oMath xmlns:a="http://schemas.openxmlformats.org/drawingml/2006/main" xmlns:pic="http://schemas.openxmlformats.org/drawingml/2006/picture">
        <m:sSub>
          <m:e>
            <m:r>
              <m:t>V</m:t>
            </m:r>
          </m:e>
          <m:sub>
            <m:r>
              <m:rPr>
                <m:sty m:val="p"/>
              </m:rPr>
              <m:t>a</m:t>
            </m:r>
            <m:r>
              <m:rPr>
                <m:sty m:val="p"/>
              </m:rPr>
              <m:t>p</m:t>
            </m:r>
            <m:r>
              <m:rPr>
                <m:sty m:val="p"/>
              </m:rPr>
              <m:t>p</m:t>
            </m:r>
          </m:sub>
        </m:sSub>
      </m:oMath>
      <w:r>
        <w:t xml:space="preserve"> is applied between the reservoirs. The unknowns are the electrostatic potential </w:t>
      </w:r>
      <m:oMath xmlns:a="http://schemas.openxmlformats.org/drawingml/2006/main" xmlns:pic="http://schemas.openxmlformats.org/drawingml/2006/picture">
        <m:r>
          <m:t>ψ</m:t>
        </m:r>
      </m:oMath>
      <w:r>
        <w:t xml:space="preserve">, the cation and anion concentrations </w:t>
      </w:r>
      <m:oMath xmlns:a="http://schemas.openxmlformats.org/drawingml/2006/main" xmlns:pic="http://schemas.openxmlformats.org/drawingml/2006/picture">
        <m:sSub>
          <m:e>
            <m:r>
              <m:t>c</m:t>
            </m:r>
          </m:e>
          <m:sub>
            <m:r>
              <m:rPr>
                <m:sty m:val="p"/>
              </m:rPr>
              <m:t>±</m:t>
            </m:r>
          </m:sub>
        </m:sSub>
      </m:oMath>
      <w:r>
        <w:t xml:space="preserve">, and the net charge density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w:t>
      </w:r>
    </w:p>
    <w:p>
      <w:r>
        <w:t>The steady PNP system, comprising the Poisson equation and the continuity statement in Eq. (1) and the Nernst–Planck fluxes in Eq. (2), is</w:t>
      </w:r>
    </w:p>
    <w:p>
      <w:pPr>
        <w:tabs>
          <w:tab w:pos="4680" w:val="center"/>
          <w:tab w:pos="9360" w:val="right"/>
        </w:tabs>
        <w:spacing w:before="120" w:after="120"/>
      </w:pPr>
      <w:r>
        <w:tab/>
      </w:r>
      <m:oMath xmlns:a="http://schemas.openxmlformats.org/drawingml/2006/main" xmlns:pic="http://schemas.openxmlformats.org/drawingml/2006/picture">
        <m:r>
          <m:rPr>
            <m:sty m:val="p"/>
          </m:rPr>
          <m:t>−</m:t>
        </m:r>
        <m:r>
          <m:rPr>
            <m:sty m:val="p"/>
          </m:rPr>
          <m:t>∇</m:t>
        </m:r>
        <m:r>
          <m:rPr>
            <m:sty m:val="p"/>
          </m:rPr>
          <m:t>⋅</m:t>
        </m:r>
        <m:d>
          <m:dPr>
            <m:begChr m:val="("/>
            <m:sepChr m:val=""/>
            <m:endChr m:val=")"/>
            <m:grow/>
          </m:dPr>
          <m:e>
            <m:sSub>
              <m:e>
                <m:r>
                  <m:t>ε</m:t>
                </m:r>
              </m:e>
              <m:sub>
                <m:r>
                  <m:t>r</m:t>
                </m:r>
              </m:sub>
            </m:sSub>
            <m:sSub>
              <m:e>
                <m:r>
                  <m:t>ε</m:t>
                </m:r>
              </m:e>
              <m:sub>
                <m:r>
                  <m:t>0</m:t>
                </m:r>
              </m:sub>
            </m:sSub>
            <m:r>
              <m:rPr>
                <m:sty m:val="p"/>
              </m:rPr>
              <m:t>∇</m:t>
            </m:r>
            <m:r>
              <m:t>ψ</m:t>
            </m:r>
          </m:e>
        </m:d>
        <m:r>
          <m:rPr>
            <m:sty m:val="p"/>
          </m:rPr>
          <m:t>=</m:t>
        </m:r>
        <m:r>
          <m:t>F</m:t>
        </m:r>
        <m:d>
          <m:dPr>
            <m:begChr m:val="("/>
            <m:sepChr m:val=""/>
            <m:endChr m:val=")"/>
            <m:grow/>
          </m:dPr>
          <m:e>
            <m:sSub>
              <m:e>
                <m:r>
                  <m:t>c</m:t>
                </m:r>
              </m:e>
              <m:sub>
                <m:r>
                  <m:rPr>
                    <m:sty m:val="p"/>
                  </m:rPr>
                  <m:t>+</m:t>
                </m:r>
              </m:sub>
            </m:sSub>
            <m:r>
              <m:rPr>
                <m:sty m:val="p"/>
              </m:rPr>
              <m:t>−</m:t>
            </m:r>
            <m:sSub>
              <m:e>
                <m:r>
                  <m:t>c</m:t>
                </m:r>
              </m:e>
              <m:sub>
                <m:r>
                  <m:rPr>
                    <m:sty m:val="p"/>
                  </m:rPr>
                  <m:t>−</m:t>
                </m:r>
              </m:sub>
            </m:sSub>
          </m:e>
        </m:d>
        <m:r>
          <m:rPr>
            <m:sty m:val="p"/>
          </m:rPr>
          <m:t>,</m:t>
        </m:r>
        <m:r>
          <m:t>  </m:t>
        </m:r>
        <m:r>
          <m:rPr>
            <m:sty m:val="p"/>
          </m:rPr>
          <m:t>∇</m:t>
        </m:r>
        <m:r>
          <m:rPr>
            <m:sty m:val="p"/>
          </m:rPr>
          <m:t>⋅</m:t>
        </m:r>
        <m:sSub>
          <m:e>
            <m:r>
              <m:rPr>
                <m:sty m:val="bi"/>
              </m:rPr>
              <m:t>J</m:t>
            </m:r>
          </m:e>
          <m:sub>
            <m:r>
              <m:rPr>
                <m:sty m:val="p"/>
              </m:rPr>
              <m:t>±</m:t>
            </m:r>
          </m:sub>
        </m:sSub>
        <m:r>
          <m:rPr>
            <m:sty m:val="p"/>
          </m:rPr>
          <m:t>=</m:t>
        </m:r>
        <m:r>
          <m:t>0</m:t>
        </m:r>
        <m:r>
          <m:rPr>
            <m:sty m:val="p"/>
          </m:rPr>
          <m:t>,</m:t>
        </m:r>
      </m:oMath>
      <w:r>
        <w:tab/>
        <w:t>(1)</w:t>
      </w:r>
    </w:p>
    <w:p>
      <w:pPr>
        <w:tabs>
          <w:tab w:pos="4680" w:val="center"/>
          <w:tab w:pos="9360" w:val="right"/>
        </w:tabs>
        <w:spacing w:before="120" w:after="120"/>
      </w:pPr>
      <w:r>
        <w:tab/>
      </w:r>
      <m:oMath xmlns:a="http://schemas.openxmlformats.org/drawingml/2006/main" xmlns:pic="http://schemas.openxmlformats.org/drawingml/2006/picture">
        <m:sSub>
          <m:e>
            <m:r>
              <m:rPr>
                <m:sty m:val="bi"/>
              </m:rPr>
              <m:t>J</m:t>
            </m:r>
          </m:e>
          <m:sub>
            <m:r>
              <m:rPr>
                <m:sty m:val="p"/>
              </m:rPr>
              <m:t>±</m:t>
            </m:r>
          </m:sub>
        </m:sSub>
        <m:r>
          <m:rPr>
            <m:sty m:val="p"/>
          </m:rPr>
          <m:t>=</m:t>
        </m:r>
        <m:r>
          <m:rPr>
            <m:sty m:val="p"/>
          </m:rPr>
          <m:t>−</m:t>
        </m:r>
        <m:sSub>
          <m:e>
            <m:r>
              <m:t>D</m:t>
            </m:r>
          </m:e>
          <m:sub>
            <m:r>
              <m:rPr>
                <m:sty m:val="p"/>
              </m:rPr>
              <m:t>±</m:t>
            </m:r>
          </m:sub>
        </m:sSub>
        <m:d>
          <m:dPr>
            <m:begChr m:val="("/>
            <m:sepChr m:val=""/>
            <m:endChr m:val=")"/>
            <m:grow/>
          </m:dPr>
          <m:e>
            <m:r>
              <m:rPr>
                <m:sty m:val="p"/>
              </m:rPr>
              <m:t>∇</m:t>
            </m:r>
            <m:sSub>
              <m:e>
                <m:r>
                  <m:t>c</m:t>
                </m:r>
              </m:e>
              <m:sub>
                <m:r>
                  <m:rPr>
                    <m:sty m:val="p"/>
                  </m:rPr>
                  <m:t>±</m:t>
                </m:r>
              </m:sub>
            </m:sSub>
            <m:r>
              <m:rPr>
                <m:sty m:val="p"/>
              </m:rPr>
              <m:t>±</m:t>
            </m:r>
            <m:f>
              <m:fPr>
                <m:type m:val="bar"/>
              </m:fPr>
              <m:num>
                <m:r>
                  <m:t>F</m:t>
                </m:r>
              </m:num>
              <m:den>
                <m:r>
                  <m:t>R</m:t>
                </m:r>
                <m:r>
                  <m:t>T</m:t>
                </m:r>
              </m:den>
            </m:f>
            <m:sSub>
              <m:e>
                <m:r>
                  <m:t>c</m:t>
                </m:r>
              </m:e>
              <m:sub>
                <m:r>
                  <m:rPr>
                    <m:sty m:val="p"/>
                  </m:rPr>
                  <m:t>±</m:t>
                </m:r>
              </m:sub>
            </m:sSub>
            <m:r>
              <m:rPr>
                <m:sty m:val="p"/>
              </m:rPr>
              <m:t>∇</m:t>
            </m:r>
            <m:r>
              <m:t>ψ</m:t>
            </m:r>
          </m:e>
        </m:d>
        <m:r>
          <m:rPr>
            <m:sty m:val="p"/>
          </m:rPr>
          <m:t>,</m:t>
        </m:r>
      </m:oMath>
      <w:r>
        <w:tab/>
        <w:t>(2)</w:t>
      </w:r>
    </w:p>
    <w:p>
      <w:r>
        <w:t xml:space="preserve">where </w:t>
      </w:r>
      <m:oMath xmlns:a="http://schemas.openxmlformats.org/drawingml/2006/main" xmlns:pic="http://schemas.openxmlformats.org/drawingml/2006/picture">
        <m:r>
          <m:t>F</m:t>
        </m:r>
      </m:oMath>
      <w:r>
        <w:t xml:space="preserve"> is Faraday's constant and </w:t>
      </w:r>
      <m:oMath xmlns:a="http://schemas.openxmlformats.org/drawingml/2006/main" xmlns:pic="http://schemas.openxmlformats.org/drawingml/2006/picture">
        <m:r>
          <m:t>R</m:t>
        </m:r>
      </m:oMath>
      <w:r>
        <w:t xml:space="preserve"> the gas constant. At the reservoir faces, </w:t>
      </w:r>
      <m:oMath xmlns:a="http://schemas.openxmlformats.org/drawingml/2006/main" xmlns:pic="http://schemas.openxmlformats.org/drawingml/2006/picture">
        <m:r>
          <m:t>ψ</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r>
          <m:t>ψ</m:t>
        </m:r>
        <m:r>
          <m:rPr>
            <m:sty m:val="p"/>
          </m:rPr>
          <m: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sSub>
          <m:e>
            <m:r>
              <m:t>C</m:t>
            </m:r>
          </m:e>
          <m:sub>
            <m:r>
              <m:t>0</m:t>
            </m:r>
          </m:sub>
        </m:sSub>
      </m:oMath>
      <w:r>
        <w:t xml:space="preserve">. On the charged wall, </w:t>
      </w:r>
      <m:oMath xmlns:a="http://schemas.openxmlformats.org/drawingml/2006/main" xmlns:pic="http://schemas.openxmlformats.org/drawingml/2006/picture">
        <m:sSub>
          <m:e>
            <m:r>
              <m:t>ε</m:t>
            </m:r>
          </m:e>
          <m:sub>
            <m:r>
              <m:t>r</m:t>
            </m:r>
          </m:sub>
        </m:sSub>
        <m:sSub>
          <m:e>
            <m:r>
              <m:t>ε</m:t>
            </m:r>
          </m:e>
          <m:sub>
            <m:r>
              <m:t>0</m:t>
            </m:r>
          </m:sub>
        </m:sSub>
        <m:r>
          <m:t> </m:t>
        </m:r>
        <m:sSub>
          <m:e>
            <m:r>
              <m:rPr>
                <m:sty m:val="p"/>
              </m:rPr>
              <m:t>∂</m:t>
            </m:r>
          </m:e>
          <m:sub>
            <m:r>
              <m:t>r</m:t>
            </m:r>
          </m:sub>
        </m:sSub>
        <m:r>
          <m:t>ψ</m:t>
        </m:r>
        <m:sSub>
          <m:e>
            <m:r>
              <m:rPr>
                <m:sty m:val="p"/>
              </m:rPr>
              <m:t>|</m:t>
            </m:r>
          </m:e>
          <m:sub>
            <m:r>
              <m:rPr>
                <m:sty m:val="p"/>
              </m:rPr>
              <m:t>w</m:t>
            </m:r>
            <m:r>
              <m:rPr>
                <m:sty m:val="p"/>
              </m:rPr>
              <m:t>a</m:t>
            </m:r>
            <m:r>
              <m:rPr>
                <m:sty m:val="p"/>
              </m:rPr>
              <m:t>l</m:t>
            </m:r>
            <m:r>
              <m:rPr>
                <m:sty m:val="p"/>
              </m:rPr>
              <m:t>l</m:t>
            </m:r>
          </m:sub>
        </m:sSub>
        <m:r>
          <m:rPr>
            <m:sty m:val="p"/>
          </m:rPr>
          <m:t>=</m:t>
        </m:r>
        <m:r>
          <m:t>σ</m:t>
        </m:r>
      </m:oMath>
      <w:r>
        <w:t xml:space="preserve"> and </w:t>
      </w:r>
      <m:oMath xmlns:a="http://schemas.openxmlformats.org/drawingml/2006/main" xmlns:pic="http://schemas.openxmlformats.org/drawingml/2006/picture">
        <m:sSub>
          <m:e>
            <m:r>
              <m:rPr>
                <m:sty m:val="bi"/>
              </m:rPr>
              <m:t>J</m:t>
            </m:r>
          </m:e>
          <m:sub>
            <m:r>
              <m:rPr>
                <m:sty m:val="p"/>
              </m:rPr>
              <m:t>±</m:t>
            </m:r>
          </m:sub>
        </m:sSub>
        <m:r>
          <m:rPr>
            <m:sty m:val="p"/>
          </m:rPr>
          <m:t>⋅</m:t>
        </m:r>
        <m:r>
          <m:rPr>
            <m:sty m:val="bi"/>
          </m:rPr>
          <m:t>n</m:t>
        </m:r>
        <m:r>
          <m:rPr>
            <m:sty m:val="p"/>
          </m:rPr>
          <m:t>=</m:t>
        </m:r>
        <m:r>
          <m:t>0</m:t>
        </m:r>
      </m:oMath>
      <w:r>
        <w:t xml:space="preserve">; on the axis, symmetry conditions apply. The wall charge strength is </w:t>
      </w:r>
      <m:oMath xmlns:a="http://schemas.openxmlformats.org/drawingml/2006/main" xmlns:pic="http://schemas.openxmlformats.org/drawingml/2006/picture">
        <m:sSub>
          <m:e>
            <m:r>
              <m:t>q</m:t>
            </m:r>
          </m:e>
          <m:sub>
            <m:r>
              <m:t>w</m:t>
            </m:r>
          </m:sub>
        </m:sSub>
        <m:r>
          <m:rPr>
            <m:sty m:val="p"/>
          </m:rPr>
          <m:t>=</m:t>
        </m:r>
        <m:r>
          <m:t>σ</m:t>
        </m:r>
        <m:r>
          <m:t>R</m:t>
        </m:r>
        <m:r>
          <m:rPr>
            <m:sty m:val="p"/>
          </m:rPr>
          <m:t>/</m:t>
        </m:r>
        <m:r>
          <m:rPr>
            <m:sty m:val="p"/>
          </m:rPr>
          <m:t>(</m:t>
        </m:r>
        <m:sSub>
          <m:e>
            <m:r>
              <m:t>ε</m:t>
            </m:r>
          </m:e>
          <m:sub>
            <m:r>
              <m:t>r</m:t>
            </m:r>
          </m:sub>
        </m:sSub>
        <m:sSub>
          <m:e>
            <m:r>
              <m:t>ε</m:t>
            </m:r>
          </m:e>
          <m:sub>
            <m:r>
              <m:t>0</m:t>
            </m:r>
          </m:sub>
        </m:sSub>
        <m:sSub>
          <m:e>
            <m:r>
              <m:t>V</m:t>
            </m:r>
          </m:e>
          <m:sub>
            <m:r>
              <m:t>T</m:t>
            </m:r>
          </m:sub>
        </m:sSub>
        <m:r>
          <m:rPr>
            <m:sty m:val="p"/>
          </m:rPr>
          <m:t>)</m:t>
        </m:r>
      </m:oMath>
      <w:r>
        <w:t xml:space="preserve">, with </w:t>
      </w:r>
      <m:oMath xmlns:a="http://schemas.openxmlformats.org/drawingml/2006/main" xmlns:pic="http://schemas.openxmlformats.org/drawingml/2006/picture">
        <m:sSub>
          <m:e>
            <m:r>
              <m:t>V</m:t>
            </m:r>
          </m:e>
          <m:sub>
            <m:r>
              <m:t>T</m:t>
            </m:r>
          </m:sub>
        </m:sSub>
        <m:r>
          <m:rPr>
            <m:sty m:val="p"/>
          </m:rPr>
          <m:t>=</m:t>
        </m:r>
        <m:r>
          <m:t>R</m:t>
        </m:r>
        <m:r>
          <m:t>T</m:t>
        </m:r>
        <m:r>
          <m:rPr>
            <m:sty m:val="p"/>
          </m:rPr>
          <m:t>/</m:t>
        </m:r>
        <m:r>
          <m:t>F</m:t>
        </m:r>
      </m:oMath>
      <w:r>
        <w:t xml:space="preserve">; this sign convention makes a negative </w:t>
      </w:r>
      <m:oMath xmlns:a="http://schemas.openxmlformats.org/drawingml/2006/main" xmlns:pic="http://schemas.openxmlformats.org/drawingml/2006/picture">
        <m:sSub>
          <m:e>
            <m:r>
              <m:t>q</m:t>
            </m:r>
          </m:e>
          <m:sub>
            <m:r>
              <m:t>w</m:t>
            </m:r>
          </m:sub>
        </m:sSub>
      </m:oMath>
      <w:r>
        <w:t xml:space="preserve"> produce the negative wall potential and cation enrichment seen in the reference solver.</w:t>
      </w:r>
    </w:p>
    <w:p>
      <w:r>
        <w:t xml:space="preserve">We non-dimensionalize lengths by </w:t>
      </w:r>
      <m:oMath xmlns:a="http://schemas.openxmlformats.org/drawingml/2006/main" xmlns:pic="http://schemas.openxmlformats.org/drawingml/2006/picture">
        <m:r>
          <m:t>R</m:t>
        </m:r>
      </m:oMath>
      <w:r>
        <w:t xml:space="preserve"> radially and by </w:t>
      </w:r>
      <m:oMath xmlns:a="http://schemas.openxmlformats.org/drawingml/2006/main" xmlns:pic="http://schemas.openxmlformats.org/drawingml/2006/picture">
        <m:r>
          <m:t>L</m:t>
        </m:r>
      </m:oMath>
      <w:r>
        <w:t xml:space="preserve"> axially, concentrations by </w:t>
      </w:r>
      <m:oMath xmlns:a="http://schemas.openxmlformats.org/drawingml/2006/main" xmlns:pic="http://schemas.openxmlformats.org/drawingml/2006/picture">
        <m:sSub>
          <m:e>
            <m:r>
              <m:t>C</m:t>
            </m:r>
          </m:e>
          <m:sub>
            <m:r>
              <m:t>0</m:t>
            </m:r>
          </m:sub>
        </m:sSub>
      </m:oMath>
      <w:r>
        <w:t xml:space="preserve">, and potential by </w:t>
      </w:r>
      <m:oMath xmlns:a="http://schemas.openxmlformats.org/drawingml/2006/main" xmlns:pic="http://schemas.openxmlformats.org/drawingml/2006/picture">
        <m:sSub>
          <m:e>
            <m:r>
              <m:t>V</m:t>
            </m:r>
          </m:e>
          <m:sub>
            <m:r>
              <m:t>T</m:t>
            </m:r>
          </m:sub>
        </m:sSub>
      </m:oMath>
      <w:r>
        <w:t xml:space="preserve">. The Poisson coupling becomes </w:t>
      </w:r>
      <m:oMath xmlns:a="http://schemas.openxmlformats.org/drawingml/2006/main" xmlns:pic="http://schemas.openxmlformats.org/drawingml/2006/picture">
        <m:r>
          <m:t>β</m:t>
        </m:r>
        <m:r>
          <m:rPr>
            <m:sty m:val="p"/>
          </m:rPr>
          <m:t>=</m:t>
        </m:r>
        <m:r>
          <m:rPr>
            <m:sty m:val="p"/>
          </m:rPr>
          <m:t>(</m:t>
        </m:r>
        <m:r>
          <m:t>L</m:t>
        </m:r>
        <m:r>
          <m:rPr>
            <m:sty m:val="p"/>
          </m:rPr>
          <m:t>/</m:t>
        </m:r>
        <m:sSub>
          <m:e>
            <m:r>
              <m:t>λ</m:t>
            </m:r>
          </m:e>
          <m:sub>
            <m:r>
              <m:t>D</m:t>
            </m:r>
          </m:sub>
        </m:sSub>
        <m:sSup>
          <m:e>
            <m:r>
              <m:rPr>
                <m:sty m:val="p"/>
              </m:rPr>
              <m:t>)</m:t>
            </m:r>
          </m:e>
          <m:sup>
            <m:r>
              <m:t>2</m:t>
            </m:r>
          </m:sup>
        </m:sSup>
        <m:r>
          <m:rPr>
            <m:sty m:val="p"/>
          </m:rPr>
          <m:t>/</m:t>
        </m:r>
        <m:r>
          <m:t>2</m:t>
        </m:r>
      </m:oMath>
      <w:r>
        <w:t xml:space="preserve">, with </w:t>
      </w:r>
      <m:oMath xmlns:a="http://schemas.openxmlformats.org/drawingml/2006/main" xmlns:pic="http://schemas.openxmlformats.org/drawingml/2006/picture">
        <m:sSub>
          <m:e>
            <m:r>
              <m:t>λ</m:t>
            </m:r>
          </m:e>
          <m:sub>
            <m:r>
              <m:t>D</m:t>
            </m:r>
          </m:sub>
        </m:sSub>
        <m:r>
          <m:rPr>
            <m:sty m:val="p"/>
          </m:rPr>
          <m:t>=</m:t>
        </m:r>
        <m:rad>
          <m:radPr>
            <m:degHide m:val="on"/>
          </m:radPr>
          <m:deg/>
          <m:e>
            <m:sSub>
              <m:e>
                <m:r>
                  <m:t>ε</m:t>
                </m:r>
              </m:e>
              <m:sub>
                <m:r>
                  <m:t>r</m:t>
                </m:r>
              </m:sub>
            </m:sSub>
            <m:sSub>
              <m:e>
                <m:r>
                  <m:t>ε</m:t>
                </m:r>
              </m:e>
              <m:sub>
                <m:r>
                  <m:t>0</m:t>
                </m:r>
              </m:sub>
            </m:sSub>
            <m:sSub>
              <m:e>
                <m:r>
                  <m:t>V</m:t>
                </m:r>
              </m:e>
              <m:sub>
                <m:r>
                  <m:t>T</m:t>
                </m:r>
              </m:sub>
            </m:sSub>
            <m:r>
              <m:rPr>
                <m:sty m:val="p"/>
              </m:rPr>
              <m:t>/</m:t>
            </m:r>
            <m:r>
              <m:rPr>
                <m:sty m:val="p"/>
              </m:rPr>
              <m:t>(</m:t>
            </m:r>
            <m:r>
              <m:t>F</m:t>
            </m:r>
            <m:sSub>
              <m:e>
                <m:r>
                  <m:t>C</m:t>
                </m:r>
              </m:e>
              <m:sub>
                <m:r>
                  <m:t>0</m:t>
                </m:r>
              </m:sub>
            </m:sSub>
            <m:r>
              <m:rPr>
                <m:sty m:val="p"/>
              </m:rPr>
              <m:t>)</m:t>
            </m:r>
          </m:e>
        </m:rad>
      </m:oMath>
      <w:r>
        <w:t xml:space="preserve">, and the geometric anisotropy is </w:t>
      </w:r>
      <m:oMath xmlns:a="http://schemas.openxmlformats.org/drawingml/2006/main" xmlns:pic="http://schemas.openxmlformats.org/drawingml/2006/picture">
        <m:sSub>
          <m:e>
            <m:r>
              <m:t>α</m:t>
            </m:r>
          </m:e>
          <m:sub>
            <m:r>
              <m:t>r</m:t>
            </m:r>
          </m:sub>
        </m:sSub>
        <m:r>
          <m:rPr>
            <m:sty m:val="p"/>
          </m:rPr>
          <m:t>=</m:t>
        </m:r>
        <m:r>
          <m:rPr>
            <m:sty m:val="p"/>
          </m:rPr>
          <m:t>(</m:t>
        </m:r>
        <m:r>
          <m:t>L</m:t>
        </m:r>
        <m:r>
          <m:rPr>
            <m:sty m:val="p"/>
          </m:rPr>
          <m:t>/</m:t>
        </m:r>
        <m:r>
          <m:t>R</m:t>
        </m:r>
        <m:sSup>
          <m:e>
            <m:r>
              <m:rPr>
                <m:sty m:val="p"/>
              </m:rPr>
              <m:t>)</m:t>
            </m:r>
          </m:e>
          <m:sup>
            <m:r>
              <m:t>2</m:t>
            </m:r>
          </m:sup>
        </m:sSup>
      </m:oMath>
      <w:r>
        <w:t>. The operating point, Eq. (3), is the four-vector</w:t>
      </w:r>
    </w:p>
    <w:p>
      <w:pPr>
        <w:tabs>
          <w:tab w:pos="4680" w:val="center"/>
          <w:tab w:pos="9360" w:val="right"/>
        </w:tabs>
        <w:spacing w:before="120" w:after="120"/>
      </w:pPr>
      <w:r>
        <w:tab/>
      </w:r>
      <m:oMath xmlns:a="http://schemas.openxmlformats.org/drawingml/2006/main" xmlns:pic="http://schemas.openxmlformats.org/drawingml/2006/picture">
        <m:r>
          <m:rPr>
            <m:sty m:val="bi"/>
          </m:rPr>
          <m:t>μ</m:t>
        </m:r>
        <m:r>
          <m:rPr>
            <m:sty m:val="p"/>
          </m:rPr>
          <m:t>=</m:t>
        </m:r>
        <m:d>
          <m:dPr>
            <m:begChr m:val="("/>
            <m:sepChr m:val=""/>
            <m:endChr m:val=")"/>
            <m:grow/>
          </m:dPr>
          <m:e>
            <m:sSub>
              <m:e>
                <m:r>
                  <m:t>V</m:t>
                </m:r>
              </m:e>
              <m:sub>
                <m:r>
                  <m:rPr>
                    <m:sty m:val="p"/>
                  </m:rPr>
                  <m:t>a</m:t>
                </m:r>
                <m:r>
                  <m:rPr>
                    <m:sty m:val="p"/>
                  </m:rPr>
                  <m:t>p</m:t>
                </m:r>
                <m:r>
                  <m:rPr>
                    <m:sty m:val="p"/>
                  </m:rPr>
                  <m:t>p</m:t>
                </m:r>
              </m:sub>
            </m:sSub>
            <m:r>
              <m:rPr>
                <m:sty m:val="p"/>
              </m:rPr>
              <m:t>,</m:t>
            </m:r>
            <m:r>
              <m:t> </m:t>
            </m:r>
            <m:sSub>
              <m:e>
                <m:r>
                  <m:t>C</m:t>
                </m:r>
              </m:e>
              <m:sub>
                <m:r>
                  <m:t>0</m:t>
                </m:r>
              </m:sub>
            </m:sSub>
            <m:r>
              <m:rPr>
                <m:sty m:val="p"/>
              </m:rPr>
              <m:t>,</m:t>
            </m:r>
            <m:r>
              <m:t> </m:t>
            </m:r>
            <m:sSub>
              <m:e>
                <m:r>
                  <m:t>q</m:t>
                </m:r>
              </m:e>
              <m:sub>
                <m:r>
                  <m:t>w</m:t>
                </m:r>
              </m:sub>
            </m:sSub>
            <m:r>
              <m:rPr>
                <m:sty m:val="p"/>
              </m:rPr>
              <m:t>,</m:t>
            </m:r>
            <m:r>
              <m:t> </m:t>
            </m:r>
            <m:r>
              <m:t>R</m:t>
            </m:r>
          </m:e>
        </m:d>
        <m:r>
          <m:rPr>
            <m:sty m:val="p"/>
          </m:rPr>
          <m:t>.</m:t>
        </m:r>
      </m:oMath>
      <w:r>
        <w:tab/>
        <w:t>(3)</w:t>
      </w:r>
    </w:p>
    <w:p>
      <w:r>
        <w:t xml:space="preserve">The in-distribution training box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rPr>
            <m:sty m:val="p"/>
          </m:rPr>
          <m:t>−</m:t>
        </m:r>
        <m:r>
          <m:t>50</m:t>
        </m:r>
        <m:r>
          <m:rPr>
            <m:sty m:val="p"/>
          </m:rPr>
          <m:t>,</m:t>
        </m:r>
        <m:r>
          <m:t>50</m:t>
        </m:r>
        <m:r>
          <m:rPr>
            <m:sty m:val="p"/>
          </m:rPr>
          <m:t>]</m:t>
        </m:r>
      </m:oMath>
      <w:r>
        <w:t xml:space="preserve"> mV, </w:t>
      </w:r>
      <m:oMath xmlns:a="http://schemas.openxmlformats.org/drawingml/2006/main" xmlns:pic="http://schemas.openxmlformats.org/drawingml/2006/picture">
        <m:sSub>
          <m:e>
            <m:r>
              <m:t>C</m:t>
            </m:r>
          </m:e>
          <m:sub>
            <m:r>
              <m:t>0</m:t>
            </m:r>
          </m:sub>
        </m:sSub>
        <m:r>
          <m:rPr>
            <m:sty m:val="p"/>
          </m:rPr>
          <m:t>∈</m:t>
        </m:r>
        <m:r>
          <m:rPr>
            <m:sty m:val="p"/>
          </m:rPr>
          <m:t>[</m:t>
        </m:r>
        <m:r>
          <m:t>28</m:t>
        </m:r>
        <m:r>
          <m:rPr>
            <m:sty m:val="p"/>
          </m:rPr>
          <m:t>,</m:t>
        </m:r>
        <m:r>
          <m:t>200</m:t>
        </m:r>
        <m:r>
          <m:rPr>
            <m:sty m:val="p"/>
          </m:rPr>
          <m:t>]</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rPr>
            <m:sty m:val="p"/>
          </m:rPr>
          <m:t>−</m:t>
        </m:r>
        <m:r>
          <m:t>0.05</m:t>
        </m:r>
        <m:r>
          <m:rPr>
            <m:sty m:val="p"/>
          </m:rPr>
          <m:t>,</m:t>
        </m:r>
        <m:r>
          <m:t>0</m:t>
        </m:r>
        <m:r>
          <m:rPr>
            <m:sty m:val="p"/>
          </m:rPr>
          <m:t>]</m:t>
        </m:r>
      </m:oMath>
      <w:r>
        <w:t xml:space="preserve">, and </w:t>
      </w:r>
      <m:oMath xmlns:a="http://schemas.openxmlformats.org/drawingml/2006/main" xmlns:pic="http://schemas.openxmlformats.org/drawingml/2006/picture">
        <m:r>
          <m:t>R</m:t>
        </m:r>
        <m:r>
          <m:rPr>
            <m:sty m:val="p"/>
          </m:rPr>
          <m:t>∈</m:t>
        </m:r>
        <m:r>
          <m:rPr>
            <m:sty m:val="p"/>
          </m:rPr>
          <m:t>[</m:t>
        </m:r>
        <m:r>
          <m:t>3</m:t>
        </m:r>
        <m:r>
          <m:rPr>
            <m:sty m:val="p"/>
          </m:rPr>
          <m:t>,</m:t>
        </m:r>
        <m:r>
          <m:t>8</m:t>
        </m:r>
        <m:r>
          <m:rPr>
            <m:sty m:val="p"/>
          </m:rPr>
          <m:t>]</m:t>
        </m:r>
      </m:oMath>
      <w:r>
        <w:t xml:space="preserve"> nm. The full dimensionless system, including the SG face fluxes used in the physics loss, is written out in Supplementary Section S3. The generated dataset also contains deliberate out-of-distribution charge/salt and geometry/voltage states, as described below.</w:t>
      </w:r>
    </w:p>
    <w:p>
      <w:pPr>
        <w:pStyle w:val="Heading3"/>
      </w:pPr>
      <w:r>
        <w:t>2.2 Conservative SG/FV reference solver and dataset</w:t>
      </w:r>
    </w:p>
    <w:p>
      <w:r>
        <w:t xml:space="preserve">The reference solver uses a node-centered axisymmetric finite-volume discretization with Scharfetter–Gummel face fluxes for the Nernst–Planck currents and a conservative Poisson update [26, 27]. The production grid is </w:t>
      </w:r>
      <m:oMath xmlns:a="http://schemas.openxmlformats.org/drawingml/2006/main" xmlns:pic="http://schemas.openxmlformats.org/drawingml/2006/picture">
        <m:r>
          <m:t>21</m:t>
        </m:r>
        <m:r>
          <m:rPr>
            <m:sty m:val="p"/>
          </m:rPr>
          <m:t>×</m:t>
        </m:r>
        <m:r>
          <m:t>61</m:t>
        </m:r>
      </m:oMath>
      <w:r>
        <w:t xml:space="preserve"> (radial </w:t>
      </w:r>
      <m:oMath xmlns:a="http://schemas.openxmlformats.org/drawingml/2006/main" xmlns:pic="http://schemas.openxmlformats.org/drawingml/2006/picture">
        <m:r>
          <m:rPr>
            <m:sty m:val="p"/>
          </m:rPr>
          <m:t>×</m:t>
        </m:r>
      </m:oMath>
      <w:r>
        <w:t xml:space="preserve"> axial). Each state is first attempted directly; if the Newton/Gummel iteration does not converge, a deterministic continuation ramps </w:t>
      </w:r>
      <m:oMath xmlns:a="http://schemas.openxmlformats.org/drawingml/2006/main" xmlns:pic="http://schemas.openxmlformats.org/drawingml/2006/picture">
        <m:sSub>
          <m:e>
            <m:r>
              <m:t>q</m:t>
            </m:r>
          </m:e>
          <m:sub>
            <m:r>
              <m:t>w</m:t>
            </m:r>
          </m:sub>
        </m:sSub>
      </m:oMath>
      <w:r>
        <w:t xml:space="preserve"> at zero voltage and then ramps the voltage at the target charge, carrying the potential forward as the initial guess. A state is accepted only if the residual is below </w:t>
      </w:r>
      <m:oMath xmlns:a="http://schemas.openxmlformats.org/drawingml/2006/main" xmlns:pic="http://schemas.openxmlformats.org/drawingml/2006/picture">
        <m:sSup>
          <m:e>
            <m:r>
              <m:t>10</m:t>
            </m:r>
          </m:e>
          <m:sup>
            <m:r>
              <m:rPr>
                <m:sty m:val="p"/>
              </m:rPr>
              <m:t>−</m:t>
            </m:r>
            <m:r>
              <m:t>9</m:t>
            </m:r>
          </m:sup>
        </m:sSup>
      </m:oMath>
      <w:r>
        <w:t xml:space="preserve">, all fields are finite, and both concentrations are strictly positive. The face flux uses the Bernoulli function </w:t>
      </w:r>
      <m:oMath xmlns:a="http://schemas.openxmlformats.org/drawingml/2006/main" xmlns:pic="http://schemas.openxmlformats.org/drawingml/2006/picture">
        <m:r>
          <m:t>B</m:t>
        </m:r>
        <m:r>
          <m:rPr>
            <m:sty m:val="p"/>
          </m:rPr>
          <m:t>(</m:t>
        </m:r>
        <m:r>
          <m:t>x</m:t>
        </m:r>
        <m:r>
          <m:rPr>
            <m:sty m:val="p"/>
          </m:rPr>
          <m:t>)</m:t>
        </m:r>
        <m:r>
          <m:rPr>
            <m:sty m:val="p"/>
          </m:rPr>
          <m:t>=</m:t>
        </m:r>
        <m:r>
          <m:t>x</m:t>
        </m:r>
        <m:r>
          <m:rPr>
            <m:sty m:val="p"/>
          </m:rPr>
          <m:t>/</m:t>
        </m:r>
        <m:r>
          <m:rPr>
            <m:sty m:val="p"/>
          </m:rPr>
          <m:t>(</m:t>
        </m:r>
        <m:sSup>
          <m:e>
            <m:r>
              <m:t>e</m:t>
            </m:r>
          </m:e>
          <m:sup>
            <m:r>
              <m:t>x</m:t>
            </m:r>
          </m:sup>
        </m:sSup>
        <m:r>
          <m:rPr>
            <m:sty m:val="p"/>
          </m:rPr>
          <m:t>−</m:t>
        </m:r>
        <m:r>
          <m:t>1</m:t>
        </m:r>
        <m:r>
          <m:rPr>
            <m:sty m:val="p"/>
          </m:rPr>
          <m:t>)</m:t>
        </m:r>
      </m:oMath>
      <w:r>
        <w:t xml:space="preserve">: </w:t>
      </w:r>
      <m:oMath xmlns:a="http://schemas.openxmlformats.org/drawingml/2006/main" xmlns:pic="http://schemas.openxmlformats.org/drawingml/2006/picture">
        <m:sSub>
          <m:e>
            <m:r>
              <m:t>J</m:t>
            </m:r>
          </m:e>
          <m:sub>
            <m:r>
              <m:t>z</m:t>
            </m:r>
            <m:r>
              <m:rPr>
                <m:sty m:val="p"/>
              </m:rPr>
              <m:t>,</m:t>
            </m:r>
            <m:r>
              <m:t>i</m:t>
            </m:r>
            <m:r>
              <m:rPr>
                <m:sty m:val="p"/>
              </m:rPr>
              <m:t>+</m:t>
            </m:r>
            <m:r>
              <m:t>1</m:t>
            </m:r>
            <m:r>
              <m:rPr>
                <m:sty m:val="p"/>
              </m:rPr>
              <m:t>/</m:t>
            </m:r>
            <m:r>
              <m:t>2</m:t>
            </m:r>
          </m:sub>
        </m:sSub>
        <m:r>
          <m:rPr>
            <m:sty m:val="p"/>
          </m:rPr>
          <m:t>=</m:t>
        </m:r>
        <m:r>
          <m:rPr>
            <m:sty m:val="p"/>
          </m:rPr>
          <m:t>−</m:t>
        </m:r>
        <m:r>
          <m:rPr>
            <m:sty m:val="p"/>
          </m:rPr>
          <m:t>[</m:t>
        </m:r>
        <m:sSub>
          <m:e>
            <m:r>
              <m:t>c</m:t>
            </m:r>
          </m:e>
          <m:sub>
            <m:r>
              <m:t>i</m:t>
            </m:r>
            <m:r>
              <m:rPr>
                <m:sty m:val="p"/>
              </m:rPr>
              <m:t>+</m:t>
            </m:r>
            <m:r>
              <m:t>1</m:t>
            </m:r>
          </m:sub>
        </m:sSub>
        <m:r>
          <m:t>B</m:t>
        </m:r>
        <m:r>
          <m:rPr>
            <m:sty m:val="p"/>
          </m:rPr>
          <m:t>(</m:t>
        </m:r>
        <m:r>
          <m:rPr>
            <m:sty m:val="p"/>
          </m:rPr>
          <m:t>−</m:t>
        </m:r>
        <m:r>
          <m:rPr>
            <m:sty m:val="p"/>
          </m:rPr>
          <m:t>Δ</m:t>
        </m:r>
        <m:sSub>
          <m:e>
            <m:r>
              <m:t>ψ</m:t>
            </m:r>
          </m:e>
          <m:sub>
            <m:r>
              <m:t>i</m:t>
            </m:r>
          </m:sub>
        </m:sSub>
        <m:r>
          <m:rPr>
            <m:sty m:val="p"/>
          </m:rPr>
          <m:t>)</m:t>
        </m:r>
        <m:r>
          <m:rPr>
            <m:sty m:val="p"/>
          </m:rPr>
          <m:t>−</m:t>
        </m:r>
        <m:sSub>
          <m:e>
            <m:r>
              <m:t>c</m:t>
            </m:r>
          </m:e>
          <m:sub>
            <m:r>
              <m:t>i</m:t>
            </m:r>
          </m:sub>
        </m:sSub>
        <m:r>
          <m:t>B</m:t>
        </m:r>
        <m:r>
          <m:rPr>
            <m:sty m:val="p"/>
          </m:rPr>
          <m:t>(</m:t>
        </m:r>
        <m:r>
          <m:rPr>
            <m:sty m:val="p"/>
          </m:rPr>
          <m:t>Δ</m:t>
        </m:r>
        <m:sSub>
          <m:e>
            <m:r>
              <m:t>ψ</m:t>
            </m:r>
          </m:e>
          <m:sub>
            <m:r>
              <m:t>i</m:t>
            </m:r>
          </m:sub>
        </m:sSub>
        <m:r>
          <m:rPr>
            <m:sty m:val="p"/>
          </m:rPr>
          <m:t>)</m:t>
        </m:r>
        <m:r>
          <m:rPr>
            <m:sty m:val="p"/>
          </m:rPr>
          <m:t>]</m:t>
        </m:r>
        <m:r>
          <m:rPr>
            <m:sty m:val="p"/>
          </m:rPr>
          <m:t>/</m:t>
        </m:r>
        <m:r>
          <m:rPr>
            <m:sty m:val="p"/>
          </m:rPr>
          <m:t>Δ</m:t>
        </m:r>
        <m:r>
          <m:t>z</m:t>
        </m:r>
      </m:oMath>
      <w:r>
        <w:t>, with the radial expression analogous; the Poisson update uses the conservative five-point stencil. The discrete equations are repeated in Supplementary Section S3.</w:t>
      </w:r>
    </w:p>
    <w:p>
      <w:r>
        <w:t xml:space="preserve">The dataset contains </w:t>
      </w:r>
      <m:oMath xmlns:a="http://schemas.openxmlformats.org/drawingml/2006/main" xmlns:pic="http://schemas.openxmlformats.org/drawingml/2006/picture">
        <m:r>
          <m:t>N</m:t>
        </m:r>
        <m:r>
          <m:rPr>
            <m:sty m:val="p"/>
          </m:rPr>
          <m:t>=</m:t>
        </m:r>
        <m:r>
          <m:t>240</m:t>
        </m:r>
      </m:oMath>
      <w:r>
        <w:t xml:space="preserve"> states: 144 training states sampled by Latin hypercube inside the in-distribution box with boundary and corner anchors, 48 interpolation-test states, and 48 out-of-distribution states (24 with charge/salt outside the training box, 24 with geometry/voltage outside the box). The exact split composition, sampled ranges, and per-split counts are listed in Supplementary Table S1. Dataset construction took 59.18 s in total. The maximum residual over all states is </w:t>
      </w:r>
      <m:oMath xmlns:a="http://schemas.openxmlformats.org/drawingml/2006/main" xmlns:pic="http://schemas.openxmlformats.org/drawingml/2006/picture">
        <m:r>
          <m:t>9.936</m:t>
        </m:r>
        <m:r>
          <m:rPr>
            <m:sty m:val="p"/>
          </m:rPr>
          <m:t>×</m:t>
        </m:r>
        <m:sSup>
          <m:e>
            <m:r>
              <m:t>10</m:t>
            </m:r>
          </m:e>
          <m:sup>
            <m:r>
              <m:rPr>
                <m:sty m:val="p"/>
              </m:rPr>
              <m:t>−</m:t>
            </m:r>
            <m:r>
              <m:t>10</m:t>
            </m:r>
          </m:sup>
        </m:sSup>
      </m:oMath>
      <w:r>
        <w:t>, the minimum cation concentration is 0.9999, and the minimum anion concentration is 0.8034; the full validation summary is tabulated in Supplementary Table S2. No state required continuation. The median SG/FV wall time is 0.2013 s and the mean is 0.2391 s.</w:t>
      </w:r>
    </w:p>
    <w:p>
      <w:r>
        <w:t xml:space="preserve">The benchmark state (index 144, interpolation split)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and </w:t>
      </w:r>
      <m:oMath xmlns:a="http://schemas.openxmlformats.org/drawingml/2006/main" xmlns:pic="http://schemas.openxmlformats.org/drawingml/2006/picture">
        <m:r>
          <m:t>R</m:t>
        </m:r>
        <m:r>
          <m:rPr>
            <m:sty m:val="p"/>
          </m:rPr>
          <m:t>=</m:t>
        </m:r>
        <m:r>
          <m:t>5</m:t>
        </m:r>
      </m:oMath>
      <w:r>
        <w:t xml:space="preserve"> nm. Its reference mean axial current is 196.1 pA. This state is used for the field and current comparisons in Section 3.2.</w:t>
      </w:r>
    </w:p>
    <w:p>
      <w:pPr>
        <w:pStyle w:val="Heading3"/>
      </w:pPr>
      <w:r>
        <w:t>2.3 Exact-reservoir and charge-balanced parameterization</w:t>
      </w:r>
    </w:p>
    <w:p>
      <w:r>
        <w:t xml:space="preserve">The operator does not output </w:t>
      </w:r>
      <m:oMath xmlns:a="http://schemas.openxmlformats.org/drawingml/2006/main" xmlns:pic="http://schemas.openxmlformats.org/drawingml/2006/picture">
        <m:sSub>
          <m:e>
            <m:r>
              <m:t>c</m:t>
            </m:r>
          </m:e>
          <m:sub>
            <m:r>
              <m:rPr>
                <m:sty m:val="p"/>
              </m:rPr>
              <m:t>+</m:t>
            </m:r>
          </m:sub>
        </m:sSub>
      </m:oMath>
      <w:r>
        <w:t xml:space="preserve"> and </w:t>
      </w:r>
      <m:oMath xmlns:a="http://schemas.openxmlformats.org/drawingml/2006/main" xmlns:pic="http://schemas.openxmlformats.org/drawingml/2006/picture">
        <m:sSub>
          <m:e>
            <m:r>
              <m:t>c</m:t>
            </m:r>
          </m:e>
          <m:sub>
            <m:r>
              <m:rPr>
                <m:sty m:val="p"/>
              </m:rPr>
              <m:t>−</m:t>
            </m:r>
          </m:sub>
        </m:sSub>
      </m:oMath>
      <w:r>
        <w:t xml:space="preserve"> directly. It predicts three smooth latent fields </w:t>
      </w:r>
      <m:oMath xmlns:a="http://schemas.openxmlformats.org/drawingml/2006/main" xmlns:pic="http://schemas.openxmlformats.org/drawingml/2006/picture">
        <m:sSub>
          <m:e>
            <m:r>
              <m:t>G</m:t>
            </m:r>
          </m:e>
          <m:sub>
            <m:r>
              <m:t>ψ</m:t>
            </m:r>
          </m:sub>
        </m:sSub>
      </m:oMath>
      <w:r>
        <w:t xml:space="preserve">, </w:t>
      </w:r>
      <m:oMath xmlns:a="http://schemas.openxmlformats.org/drawingml/2006/main" xmlns:pic="http://schemas.openxmlformats.org/drawingml/2006/picture">
        <m:sSub>
          <m:e>
            <m:r>
              <m:t>G</m:t>
            </m:r>
          </m:e>
          <m:sub>
            <m:r>
              <m:t>s</m:t>
            </m:r>
          </m:sub>
        </m:sSub>
      </m:oMath>
      <w:r>
        <w:t xml:space="preserve">, and </w:t>
      </w:r>
      <m:oMath xmlns:a="http://schemas.openxmlformats.org/drawingml/2006/main" xmlns:pic="http://schemas.openxmlformats.org/drawingml/2006/picture">
        <m:sSub>
          <m:e>
            <m:r>
              <m:t>G</m:t>
            </m:r>
          </m:e>
          <m:sub>
            <m:r>
              <m:t>ρ</m:t>
            </m:r>
          </m:sub>
        </m:sSub>
      </m:oMath>
      <w:r>
        <w:t xml:space="preserve"> on the fixed grid, where </w:t>
      </w:r>
      <m:oMath xmlns:a="http://schemas.openxmlformats.org/drawingml/2006/main" xmlns:pic="http://schemas.openxmlformats.org/drawingml/2006/picture">
        <m:r>
          <m:t>z</m:t>
        </m:r>
        <m:r>
          <m:rPr>
            <m:sty m:val="p"/>
          </m:rPr>
          <m:t>∈</m:t>
        </m:r>
        <m:r>
          <m:rPr>
            <m:sty m:val="p"/>
          </m:rPr>
          <m:t>[</m:t>
        </m:r>
        <m:r>
          <m:t>0</m:t>
        </m:r>
        <m:r>
          <m:rPr>
            <m:sty m:val="p"/>
          </m:rPr>
          <m:t>,</m:t>
        </m:r>
        <m:r>
          <m:t>1</m:t>
        </m:r>
        <m:r>
          <m:rPr>
            <m:sty m:val="p"/>
          </m:rPr>
          <m:t>]</m:t>
        </m:r>
      </m:oMath>
      <w:r>
        <w:t xml:space="preserve"> is the normalized axial coordinate. The potential, Eq. (4), is</w:t>
      </w:r>
    </w:p>
    <w:p>
      <w:pPr>
        <w:tabs>
          <w:tab w:pos="4680" w:val="center"/>
          <w:tab w:pos="9360" w:val="right"/>
        </w:tabs>
        <w:spacing w:before="120" w:after="120"/>
      </w:pPr>
      <w:r>
        <w:tab/>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r>
          <m:rPr>
            <m:sty m:val="p"/>
          </m:rPr>
          <m:t>=</m:t>
        </m:r>
        <m:sSub>
          <m:e>
            <m:r>
              <m:t>V</m:t>
            </m:r>
          </m:e>
          <m:sub>
            <m:r>
              <m:rPr>
                <m:sty m:val="p"/>
              </m:rPr>
              <m:t>a</m:t>
            </m:r>
            <m:r>
              <m:rPr>
                <m:sty m:val="p"/>
              </m:rPr>
              <m:t>p</m:t>
            </m:r>
            <m:r>
              <m:rPr>
                <m:sty m:val="p"/>
              </m:rPr>
              <m:t>p</m:t>
            </m:r>
          </m:sub>
        </m:sSub>
        <m:r>
          <m:rPr>
            <m:sty m:val="p"/>
          </m:rPr>
          <m:t>(</m:t>
        </m:r>
        <m:r>
          <m:t>1</m:t>
        </m:r>
        <m:r>
          <m:rPr>
            <m:sty m:val="p"/>
          </m:rPr>
          <m:t>−</m:t>
        </m:r>
        <m:r>
          <m:t>z</m:t>
        </m:r>
        <m:r>
          <m:rPr>
            <m:sty m:val="p"/>
          </m:rPr>
          <m:t>)</m:t>
        </m:r>
        <m:r>
          <m:rPr>
            <m:sty m:val="p"/>
          </m:rPr>
          <m:t>+</m:t>
        </m:r>
        <m:r>
          <m:t>z</m:t>
        </m:r>
        <m:r>
          <m:rPr>
            <m:sty m:val="p"/>
          </m:rPr>
          <m:t>(</m:t>
        </m:r>
        <m:r>
          <m:t>1</m:t>
        </m:r>
        <m:r>
          <m:rPr>
            <m:sty m:val="p"/>
          </m:rPr>
          <m:t>−</m:t>
        </m:r>
        <m:r>
          <m:t>z</m:t>
        </m:r>
        <m:r>
          <m:rPr>
            <m:sty m:val="p"/>
          </m:rPr>
          <m:t>)</m:t>
        </m:r>
        <m:r>
          <m:t> </m:t>
        </m:r>
        <m:sSub>
          <m:e>
            <m:r>
              <m:t>G</m:t>
            </m:r>
          </m:e>
          <m:sub>
            <m:r>
              <m:t>ψ</m:t>
            </m:r>
          </m:sub>
        </m:sSub>
        <m:r>
          <m:rPr>
            <m:sty m:val="p"/>
          </m:rPr>
          <m:t>(</m:t>
        </m:r>
        <m:r>
          <m:t>r</m:t>
        </m:r>
        <m:r>
          <m:rPr>
            <m:sty m:val="p"/>
          </m:rPr>
          <m:t>,</m:t>
        </m:r>
        <m:r>
          <m:t>z</m:t>
        </m:r>
        <m:r>
          <m:rPr>
            <m:sty m:val="p"/>
          </m:rPr>
          <m:t>)</m:t>
        </m:r>
        <m:r>
          <m:rPr>
            <m:sty m:val="p"/>
          </m:rPr>
          <m:t>,</m:t>
        </m:r>
      </m:oMath>
      <w:r>
        <w:tab/>
        <w:t>(4)</w:t>
      </w:r>
    </w:p>
    <w:p>
      <w:r>
        <w:t xml:space="preserve">so that </w:t>
      </w:r>
      <m:oMath xmlns:a="http://schemas.openxmlformats.org/drawingml/2006/main" xmlns:pic="http://schemas.openxmlformats.org/drawingml/2006/picture">
        <m:sSub>
          <m:e>
            <m:r>
              <m:t>ψ</m:t>
            </m:r>
          </m:e>
          <m:sub>
            <m:r>
              <m:t>θ</m:t>
            </m:r>
          </m:sub>
        </m:sSub>
        <m:r>
          <m:rPr>
            <m:sty m:val="p"/>
          </m:rPr>
          <m:t>(</m:t>
        </m:r>
        <m:r>
          <m:t>r</m:t>
        </m:r>
        <m:r>
          <m:rPr>
            <m:sty m:val="p"/>
          </m:rPr>
          <m:t>,</m:t>
        </m:r>
        <m:r>
          <m:t>0</m:t>
        </m:r>
        <m:r>
          <m:rPr>
            <m:sty m:val="p"/>
          </m:rPr>
          <m:t>)</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sSub>
          <m:e>
            <m:r>
              <m:t>ψ</m:t>
            </m:r>
          </m:e>
          <m:sub>
            <m:r>
              <m:t>θ</m:t>
            </m:r>
          </m:sub>
        </m:sSub>
        <m:r>
          <m:rPr>
            <m:sty m:val="p"/>
          </m:rPr>
          <m:t>(</m:t>
        </m:r>
        <m:r>
          <m:t>r</m:t>
        </m:r>
        <m:r>
          <m:rPr>
            <m:sty m:val="p"/>
          </m:rPr>
          <m:t>,</m:t>
        </m:r>
        <m:r>
          <m:t>1</m:t>
        </m:r>
        <m:r>
          <m:rPr>
            <m:sty m:val="p"/>
          </m:rPr>
          <m:t>)</m:t>
        </m:r>
        <m:r>
          <m:rPr>
            <m:sty m:val="p"/>
          </m:rPr>
          <m:t>=</m:t>
        </m:r>
        <m:r>
          <m:t>0</m:t>
        </m:r>
      </m:oMath>
      <w:r>
        <w:t xml:space="preserve"> hold exactly for any </w:t>
      </w:r>
      <m:oMath xmlns:a="http://schemas.openxmlformats.org/drawingml/2006/main" xmlns:pic="http://schemas.openxmlformats.org/drawingml/2006/picture">
        <m:sSub>
          <m:e>
            <m:r>
              <m:t>G</m:t>
            </m:r>
          </m:e>
          <m:sub>
            <m:r>
              <m:t>ψ</m:t>
            </m:r>
          </m:sub>
        </m:sSub>
      </m:oMath>
      <w:r>
        <w:t>. The concentration sum and net charge, Eq. (5), are</w:t>
      </w:r>
    </w:p>
    <w:p>
      <w:pPr>
        <w:tabs>
          <w:tab w:pos="4680" w:val="center"/>
          <w:tab w:pos="9360" w:val="right"/>
        </w:tabs>
        <w:spacing w:before="120" w:after="120"/>
      </w:pPr>
      <w:r>
        <w:tab/>
      </w:r>
      <m:oMath xmlns:a="http://schemas.openxmlformats.org/drawingml/2006/main" xmlns:pic="http://schemas.openxmlformats.org/drawingml/2006/picture">
        <m:sSub>
          <m:e>
            <m:r>
              <m:t>s</m:t>
            </m:r>
          </m:e>
          <m:sub>
            <m:r>
              <m:t>θ</m:t>
            </m:r>
          </m:sub>
        </m:sSub>
        <m:r>
          <m:rPr>
            <m:sty m:val="p"/>
          </m:rPr>
          <m:t>(</m:t>
        </m:r>
        <m:r>
          <m:t>r</m:t>
        </m:r>
        <m:r>
          <m:rPr>
            <m:sty m:val="p"/>
          </m:rPr>
          <m:t>,</m:t>
        </m:r>
        <m:r>
          <m:t>z</m:t>
        </m:r>
        <m:r>
          <m:rPr>
            <m:sty m:val="p"/>
          </m:rPr>
          <m:t>)</m:t>
        </m:r>
        <m:r>
          <m:rPr>
            <m:sty m:val="p"/>
          </m:rPr>
          <m:t>=</m:t>
        </m:r>
        <m:r>
          <m:t>2</m:t>
        </m:r>
        <m:r>
          <m:rPr>
            <m:sty m:val="p"/>
          </m:rPr>
          <m:t>exp</m:t>
        </m:r>
        <m:r>
          <m:t>​</m:t>
        </m:r>
        <m:d>
          <m:dPr>
            <m:begChr m:val="["/>
            <m:sepChr m:val=""/>
            <m:endChr m:val="]"/>
            <m:grow/>
          </m:dPr>
          <m:e>
            <m:r>
              <m:t>z</m:t>
            </m:r>
            <m:r>
              <m:rPr>
                <m:sty m:val="p"/>
              </m:rPr>
              <m:t>(</m:t>
            </m:r>
            <m:r>
              <m:t>1</m:t>
            </m:r>
            <m:r>
              <m:rPr>
                <m:sty m:val="p"/>
              </m:rPr>
              <m:t>−</m:t>
            </m:r>
            <m:r>
              <m:t>z</m:t>
            </m:r>
            <m:r>
              <m:rPr>
                <m:sty m:val="p"/>
              </m:rPr>
              <m:t>)</m:t>
            </m:r>
            <m:r>
              <m:t> </m:t>
            </m:r>
            <m:sSub>
              <m:e>
                <m:r>
                  <m:t>G</m:t>
                </m:r>
              </m:e>
              <m:sub>
                <m:r>
                  <m:t>s</m:t>
                </m:r>
              </m:sub>
            </m:sSub>
            <m:r>
              <m:rPr>
                <m:sty m:val="p"/>
              </m:rPr>
              <m:t>(</m:t>
            </m:r>
            <m:r>
              <m:t>r</m:t>
            </m:r>
            <m:r>
              <m:rPr>
                <m:sty m:val="p"/>
              </m:rPr>
              <m:t>,</m:t>
            </m:r>
            <m:r>
              <m:t>z</m:t>
            </m:r>
            <m:r>
              <m:rPr>
                <m:sty m:val="p"/>
              </m:rPr>
              <m:t>)</m:t>
            </m:r>
          </m:e>
        </m:d>
        <m:r>
          <m:rPr>
            <m:sty m:val="p"/>
          </m:rPr>
          <m:t>,</m:t>
        </m:r>
        <m:r>
          <m:t>  </m:t>
        </m:r>
        <m:sSub>
          <m:e>
            <m:r>
              <m:t>ρ</m:t>
            </m:r>
          </m:e>
          <m:sub>
            <m:r>
              <m:t>θ</m:t>
            </m:r>
          </m:sub>
        </m:sSub>
        <m:r>
          <m:rPr>
            <m:sty m:val="p"/>
          </m:rPr>
          <m:t>(</m:t>
        </m:r>
        <m:r>
          <m:t>r</m:t>
        </m:r>
        <m:r>
          <m:rPr>
            <m:sty m:val="p"/>
          </m:rPr>
          <m:t>,</m:t>
        </m:r>
        <m:r>
          <m:t>z</m:t>
        </m:r>
        <m:r>
          <m:rPr>
            <m:sty m:val="p"/>
          </m:rPr>
          <m:t>)</m:t>
        </m:r>
        <m:r>
          <m:rPr>
            <m:sty m:val="p"/>
          </m:rPr>
          <m:t>=</m:t>
        </m:r>
        <m:r>
          <m:t>z</m:t>
        </m:r>
        <m:r>
          <m:rPr>
            <m:sty m:val="p"/>
          </m:rPr>
          <m:t>(</m:t>
        </m:r>
        <m:r>
          <m:t>1</m:t>
        </m:r>
        <m:r>
          <m:rPr>
            <m:sty m:val="p"/>
          </m:rPr>
          <m:t>−</m:t>
        </m:r>
        <m:r>
          <m:t>z</m:t>
        </m:r>
        <m:r>
          <m:rPr>
            <m:sty m:val="p"/>
          </m:rPr>
          <m:t>)</m:t>
        </m:r>
        <m:r>
          <m:t> </m:t>
        </m:r>
        <m:sSub>
          <m:e>
            <m:r>
              <m:t>G</m:t>
            </m:r>
          </m:e>
          <m:sub>
            <m:r>
              <m:t>ρ</m:t>
            </m:r>
          </m:sub>
        </m:sSub>
        <m:r>
          <m:rPr>
            <m:sty m:val="p"/>
          </m:rPr>
          <m:t>(</m:t>
        </m:r>
        <m:r>
          <m:t>r</m:t>
        </m:r>
        <m:r>
          <m:rPr>
            <m:sty m:val="p"/>
          </m:rPr>
          <m:t>,</m:t>
        </m:r>
        <m:r>
          <m:t>z</m:t>
        </m:r>
        <m:r>
          <m:rPr>
            <m:sty m:val="p"/>
          </m:rPr>
          <m:t>)</m:t>
        </m:r>
        <m:r>
          <m:rPr>
            <m:sty m:val="p"/>
          </m:rPr>
          <m:t>,</m:t>
        </m:r>
      </m:oMath>
      <w:r>
        <w:tab/>
        <w:t>(5)</w:t>
      </w:r>
    </w:p>
    <w:p>
      <w:r>
        <w:t xml:space="preserve">with the exponent clipped to </w:t>
      </w:r>
      <m:oMath xmlns:a="http://schemas.openxmlformats.org/drawingml/2006/main" xmlns:pic="http://schemas.openxmlformats.org/drawingml/2006/picture">
        <m:r>
          <m:rPr>
            <m:sty m:val="p"/>
          </m:rPr>
          <m:t>[</m:t>
        </m:r>
        <m:r>
          <m:rPr>
            <m:sty m:val="p"/>
          </m:rPr>
          <m:t>−</m:t>
        </m:r>
        <m:r>
          <m:t>15</m:t>
        </m:r>
        <m:r>
          <m:rPr>
            <m:sty m:val="p"/>
          </m:rPr>
          <m:t>,</m:t>
        </m:r>
        <m:r>
          <m:t>15</m:t>
        </m:r>
        <m:r>
          <m:rPr>
            <m:sty m:val="p"/>
          </m:rPr>
          <m:t>]</m:t>
        </m:r>
      </m:oMath>
      <w:r>
        <w:t xml:space="preserve"> for numerical safety. At both reservoirs the envelope </w:t>
      </w:r>
      <m:oMath xmlns:a="http://schemas.openxmlformats.org/drawingml/2006/main" xmlns:pic="http://schemas.openxmlformats.org/drawingml/2006/picture">
        <m:r>
          <m:t>z</m:t>
        </m:r>
        <m:r>
          <m:rPr>
            <m:sty m:val="p"/>
          </m:rPr>
          <m:t>(</m:t>
        </m:r>
        <m:r>
          <m:t>1</m:t>
        </m:r>
        <m:r>
          <m:rPr>
            <m:sty m:val="p"/>
          </m:rPr>
          <m:t>−</m:t>
        </m:r>
        <m:r>
          <m:t>z</m:t>
        </m:r>
        <m:r>
          <m:rPr>
            <m:sty m:val="p"/>
          </m:rPr>
          <m:t>)</m:t>
        </m:r>
      </m:oMath>
      <w:r>
        <w:t xml:space="preserve"> vanishes, so </w:t>
      </w:r>
      <m:oMath xmlns:a="http://schemas.openxmlformats.org/drawingml/2006/main" xmlns:pic="http://schemas.openxmlformats.org/drawingml/2006/picture">
        <m:sSub>
          <m:e>
            <m:r>
              <m:t>s</m:t>
            </m:r>
          </m:e>
          <m:sub>
            <m:r>
              <m:t>θ</m:t>
            </m:r>
          </m:sub>
        </m:sSub>
        <m:r>
          <m:rPr>
            <m:sty m:val="p"/>
          </m:rPr>
          <m:t>→</m:t>
        </m:r>
        <m:r>
          <m:t>2</m:t>
        </m:r>
      </m:oMath>
      <w:r>
        <w:t xml:space="preserve"> (i.e., </w:t>
      </w:r>
      <m:oMath xmlns:a="http://schemas.openxmlformats.org/drawingml/2006/main" xmlns:pic="http://schemas.openxmlformats.org/drawingml/2006/picture">
        <m:r>
          <m:t>2</m:t>
        </m:r>
        <m:sSub>
          <m:e>
            <m:r>
              <m:t>C</m:t>
            </m:r>
          </m:e>
          <m:sub>
            <m:r>
              <m:t>0</m:t>
            </m:r>
          </m:sub>
        </m:sSub>
      </m:oMath>
      <w:r>
        <w:t xml:space="preserve"> in dimensional units) and </w:t>
      </w:r>
      <m:oMath xmlns:a="http://schemas.openxmlformats.org/drawingml/2006/main" xmlns:pic="http://schemas.openxmlformats.org/drawingml/2006/picture">
        <m:sSub>
          <m:e>
            <m:r>
              <m:t>ρ</m:t>
            </m:r>
          </m:e>
          <m:sub>
            <m:r>
              <m:t>θ</m:t>
            </m:r>
          </m:sub>
        </m:sSub>
        <m:r>
          <m:rPr>
            <m:sty m:val="p"/>
          </m:rPr>
          <m:t>→</m:t>
        </m:r>
        <m:r>
          <m:t>0</m:t>
        </m:r>
      </m:oMath>
      <w:r>
        <w:t xml:space="preserve">, which gives </w:t>
      </w:r>
      <m:oMath xmlns:a="http://schemas.openxmlformats.org/drawingml/2006/main" xmlns:pic="http://schemas.openxmlformats.org/drawingml/2006/picture">
        <m:sSub>
          <m:e>
            <m:r>
              <m:t>c</m:t>
            </m:r>
          </m:e>
          <m:sub>
            <m:r>
              <m:rPr>
                <m:sty m:val="p"/>
              </m:rPr>
              <m:t>±</m:t>
            </m:r>
            <m:r>
              <m:rPr>
                <m:sty m:val="p"/>
              </m:rPr>
              <m:t>,</m:t>
            </m:r>
            <m:r>
              <m:t>θ</m:t>
            </m:r>
          </m:sub>
        </m:sSub>
        <m:r>
          <m:rPr>
            <m:sty m:val="p"/>
          </m:rPr>
          <m:t>→</m:t>
        </m:r>
        <m:r>
          <m:t>1</m:t>
        </m:r>
      </m:oMath>
      <w:r>
        <w:t xml:space="preserve"> (i.e., </w:t>
      </w:r>
      <m:oMath xmlns:a="http://schemas.openxmlformats.org/drawingml/2006/main" xmlns:pic="http://schemas.openxmlformats.org/drawingml/2006/picture">
        <m:sSub>
          <m:e>
            <m:r>
              <m:t>C</m:t>
            </m:r>
          </m:e>
          <m:sub>
            <m:r>
              <m:t>0</m:t>
            </m:r>
          </m:sub>
        </m:sSub>
      </m:oMath>
      <w:r>
        <w:t>) exactly. Physical concentrations are recovered from the hyperbolic identity, Eq. (6),</w:t>
      </w:r>
    </w:p>
    <w:p>
      <w:pPr>
        <w:tabs>
          <w:tab w:pos="4680" w:val="center"/>
          <w:tab w:pos="9360" w:val="right"/>
        </w:tabs>
        <w:spacing w:before="120" w:after="120"/>
      </w:pPr>
      <w:r>
        <w:tab/>
      </w:r>
      <m:oMath xmlns:a="http://schemas.openxmlformats.org/drawingml/2006/main" xmlns:pic="http://schemas.openxmlformats.org/drawingml/2006/picture">
        <m:sSub>
          <m:e>
            <m:r>
              <m:t>c</m:t>
            </m:r>
          </m:e>
          <m:sub>
            <m:r>
              <m:rPr>
                <m:sty m:val="p"/>
              </m:rPr>
              <m:t>±</m:t>
            </m:r>
            <m:r>
              <m:rPr>
                <m:sty m:val="p"/>
              </m:rPr>
              <m:t>,</m:t>
            </m:r>
            <m:r>
              <m:t>θ</m:t>
            </m:r>
          </m:sub>
        </m:sSub>
        <m:r>
          <m:rPr>
            <m:sty m:val="p"/>
          </m:rPr>
          <m:t>=</m:t>
        </m:r>
        <m:f>
          <m:fPr>
            <m:type m:val="bar"/>
          </m:fPr>
          <m:num>
            <m:r>
              <m:t>1</m:t>
            </m:r>
          </m:num>
          <m:den>
            <m:r>
              <m:t>2</m:t>
            </m:r>
          </m:den>
        </m:f>
        <m:d>
          <m:dPr>
            <m:begChr m:val="("/>
            <m:sepChr m:val=""/>
            <m:endChr m:val=")"/>
            <m:grow/>
          </m:dPr>
          <m:e>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sSub>
              <m:e>
                <m:r>
                  <m:t>ρ</m:t>
                </m:r>
              </m:e>
              <m:sub>
                <m:r>
                  <m:t>θ</m:t>
                </m:r>
              </m:sub>
            </m:sSub>
          </m:e>
        </m:d>
        <m:r>
          <m:rPr>
            <m:sty m:val="p"/>
          </m:rPr>
          <m:t>.</m:t>
        </m:r>
      </m:oMath>
      <w:r>
        <w:tab/>
        <w:t>(6)</w:t>
      </w:r>
    </w:p>
    <w:p>
      <w:r>
        <w:t xml:space="preserve">Because </w:t>
      </w:r>
      <m:oMath xmlns:a="http://schemas.openxmlformats.org/drawingml/2006/main" xmlns:pic="http://schemas.openxmlformats.org/drawingml/2006/picture">
        <m:rad>
          <m:radPr>
            <m:degHide m:val="on"/>
          </m:radPr>
          <m:deg/>
          <m:e>
            <m:sSup>
              <m:e>
                <m:r>
                  <m:t>s</m:t>
                </m:r>
              </m:e>
              <m:sup>
                <m:r>
                  <m:t>2</m:t>
                </m:r>
              </m:sup>
            </m:sSup>
            <m:r>
              <m:rPr>
                <m:sty m:val="p"/>
              </m:rPr>
              <m:t>+</m:t>
            </m:r>
            <m:sSup>
              <m:e>
                <m:r>
                  <m:t>ρ</m:t>
                </m:r>
              </m:e>
              <m:sup>
                <m:r>
                  <m:t>2</m:t>
                </m:r>
              </m:sup>
            </m:sSup>
          </m:e>
        </m:rad>
        <m:r>
          <m:rPr>
            <m:sty m:val="p"/>
          </m:rPr>
          <m:t>≥</m:t>
        </m:r>
        <m:r>
          <m:rPr>
            <m:sty m:val="p"/>
          </m:rPr>
          <m:t>|</m:t>
        </m:r>
        <m:r>
          <m:t>ρ</m:t>
        </m:r>
        <m:r>
          <m:rPr>
            <m:sty m:val="p"/>
          </m:rPr>
          <m:t>|</m:t>
        </m:r>
      </m:oMath>
      <w:r>
        <w:t xml:space="preserve">, both concentrations are non-negative for any real </w:t>
      </w:r>
      <m:oMath xmlns:a="http://schemas.openxmlformats.org/drawingml/2006/main" xmlns:pic="http://schemas.openxmlformats.org/drawingml/2006/picture">
        <m:r>
          <m:t>s</m:t>
        </m:r>
      </m:oMath>
      <w:r>
        <w:t xml:space="preserve"> and </w:t>
      </w:r>
      <m:oMath xmlns:a="http://schemas.openxmlformats.org/drawingml/2006/main" xmlns:pic="http://schemas.openxmlformats.org/drawingml/2006/picture">
        <m:r>
          <m:t>ρ</m:t>
        </m:r>
      </m:oMath>
      <w:r>
        <w:t xml:space="preserve">, and the algebraic identity </w:t>
      </w:r>
      <m:oMath xmlns:a="http://schemas.openxmlformats.org/drawingml/2006/main" xmlns:pic="http://schemas.openxmlformats.org/drawingml/2006/picture">
        <m:sSub>
          <m:e>
            <m:r>
              <m:t>c</m:t>
            </m:r>
          </m:e>
          <m:sub>
            <m:r>
              <m:rPr>
                <m:sty m:val="p"/>
              </m:rPr>
              <m:t>+</m:t>
            </m:r>
            <m:r>
              <m:rPr>
                <m:sty m:val="p"/>
              </m:rPr>
              <m:t>,</m:t>
            </m:r>
            <m:r>
              <m:t>θ</m:t>
            </m:r>
          </m:sub>
        </m:sSub>
        <m:r>
          <m:rPr>
            <m:sty m:val="p"/>
          </m:rPr>
          <m:t>−</m:t>
        </m:r>
        <m:sSub>
          <m:e>
            <m:r>
              <m:t>c</m:t>
            </m:r>
          </m:e>
          <m:sub>
            <m:r>
              <m:rPr>
                <m:sty m:val="p"/>
              </m:rPr>
              <m:t>−</m:t>
            </m:r>
            <m:r>
              <m:rPr>
                <m:sty m:val="p"/>
              </m:rPr>
              <m:t>,</m:t>
            </m:r>
            <m:r>
              <m:t>θ</m:t>
            </m:r>
          </m:sub>
        </m:sSub>
        <m:r>
          <m:rPr>
            <m:sty m:val="p"/>
          </m:rPr>
          <m:t>=</m:t>
        </m:r>
        <m:sSub>
          <m:e>
            <m:r>
              <m:t>ρ</m:t>
            </m:r>
          </m:e>
          <m:sub>
            <m:r>
              <m:t>θ</m:t>
            </m:r>
          </m:sub>
        </m:sSub>
      </m:oMath>
      <w:r>
        <w:t xml:space="preserve"> holds exactly. In the implementation the residual of this identity is </w:t>
      </w:r>
      <m:oMath xmlns:a="http://schemas.openxmlformats.org/drawingml/2006/main" xmlns:pic="http://schemas.openxmlformats.org/drawingml/2006/picture">
        <m:r>
          <m:t>1.110</m:t>
        </m:r>
        <m:r>
          <m:rPr>
            <m:sty m:val="p"/>
          </m:rPr>
          <m:t>×</m:t>
        </m:r>
        <m:sSup>
          <m:e>
            <m:r>
              <m:t>10</m:t>
            </m:r>
          </m:e>
          <m:sup>
            <m:r>
              <m:rPr>
                <m:sty m:val="p"/>
              </m:rPr>
              <m:t>−</m:t>
            </m:r>
            <m:r>
              <m:t>16</m:t>
            </m:r>
          </m:sup>
        </m:sSup>
      </m:oMath>
      <w:r>
        <w:t>, i.e., machine precision. The same parameterization is applied to both backbones, so architecture comparisons are not confounded by different constraint handling.</w:t>
      </w:r>
    </w:p>
    <w:p>
      <w:r>
        <w:t>This construction should be distinguished from soft penalty-based constraint enforcement [34–40]. No boundary or positivity penalty is required; the constraints are structural. The physics loss is used only to penalize violations of the differential equations in the interior.</w:t>
      </w:r>
    </w:p>
    <w:p>
      <w:pPr>
        <w:pStyle w:val="Heading3"/>
      </w:pPr>
      <w:r>
        <w:t>2.4 Operator backbones</w:t>
      </w:r>
    </w:p>
    <w:p>
      <w:r>
        <w:rPr>
          <w:b/>
        </w:rPr>
        <w:t>Multi-scale radial PI-DeepONet.</w:t>
      </w:r>
      <w:r>
        <w:t xml:space="preserve"> The branch network maps the four parameters to </w:t>
      </w:r>
      <m:oMath xmlns:a="http://schemas.openxmlformats.org/drawingml/2006/main" xmlns:pic="http://schemas.openxmlformats.org/drawingml/2006/picture">
        <m:r>
          <m:t>3</m:t>
        </m:r>
        <m:r>
          <m:t>p</m:t>
        </m:r>
      </m:oMath>
      <w:r>
        <w:t xml:space="preserve"> latent coefficients. The trunk network maps the coordinates and four fixed radial boundary-layer features, </w:t>
      </w:r>
      <m:oMath xmlns:a="http://schemas.openxmlformats.org/drawingml/2006/main" xmlns:pic="http://schemas.openxmlformats.org/drawingml/2006/picture">
        <m:r>
          <m:rPr>
            <m:sty m:val="p"/>
          </m:rPr>
          <m:t>(</m:t>
        </m:r>
        <m:r>
          <m:t>r</m:t>
        </m:r>
        <m:r>
          <m:rPr>
            <m:sty m:val="p"/>
          </m:rPr>
          <m:t>,</m:t>
        </m:r>
        <m:r>
          <m:t>z</m:t>
        </m:r>
        <m:r>
          <m:rPr>
            <m:sty m:val="p"/>
          </m:rPr>
          <m:t>,</m:t>
        </m:r>
        <m:r>
          <m:rPr>
            <m:sty m:val="p"/>
          </m:rPr>
          <m:t>{</m:t>
        </m:r>
        <m:sSup>
          <m:e>
            <m:r>
              <m:t>e</m:t>
            </m:r>
          </m:e>
          <m:sup>
            <m:r>
              <m:rPr>
                <m:sty m:val="p"/>
              </m:rPr>
              <m:t>−</m:t>
            </m:r>
            <m:r>
              <m:t>κ</m:t>
            </m:r>
            <m:r>
              <m:rPr>
                <m:sty m:val="p"/>
              </m:rPr>
              <m:t>(</m:t>
            </m:r>
            <m:r>
              <m:t>1</m:t>
            </m:r>
            <m:r>
              <m:rPr>
                <m:sty m:val="p"/>
              </m:rPr>
              <m:t>−</m:t>
            </m:r>
            <m:r>
              <m:t>r</m:t>
            </m:r>
            <m:r>
              <m:rPr>
                <m:sty m:val="p"/>
              </m:rPr>
              <m:t>)</m:t>
            </m:r>
          </m:sup>
        </m:sSup>
        <m:sSub>
          <m:e>
            <m:r>
              <m:rPr>
                <m:sty m:val="p"/>
              </m:rPr>
              <m:t>}</m:t>
            </m:r>
          </m:e>
          <m:sub>
            <m:r>
              <m:t>κ</m:t>
            </m:r>
            <m:r>
              <m:rPr>
                <m:sty m:val="p"/>
              </m:rPr>
              <m:t>∈</m:t>
            </m:r>
            <m:r>
              <m:rPr>
                <m:sty m:val="p"/>
              </m:rPr>
              <m:t>{</m:t>
            </m:r>
            <m:r>
              <m:t>1</m:t>
            </m:r>
            <m:r>
              <m:rPr>
                <m:sty m:val="p"/>
              </m:rPr>
              <m:t>,</m:t>
            </m:r>
            <m:r>
              <m:t>3</m:t>
            </m:r>
            <m:r>
              <m:rPr>
                <m:sty m:val="p"/>
              </m:rPr>
              <m:t>,</m:t>
            </m:r>
            <m:r>
              <m:t>10</m:t>
            </m:r>
            <m:r>
              <m:rPr>
                <m:sty m:val="p"/>
              </m:rPr>
              <m:t>,</m:t>
            </m:r>
            <m:r>
              <m:t>30</m:t>
            </m:r>
            <m:r>
              <m:rPr>
                <m:sty m:val="p"/>
              </m:rPr>
              <m:t>}</m:t>
            </m:r>
          </m:sub>
        </m:sSub>
        <m:r>
          <m:rPr>
            <m:sty m:val="p"/>
          </m:rPr>
          <m:t>)</m:t>
        </m:r>
      </m:oMath>
      <w:r>
        <w:t xml:space="preserve">, to </w:t>
      </w:r>
      <m:oMath xmlns:a="http://schemas.openxmlformats.org/drawingml/2006/main" xmlns:pic="http://schemas.openxmlformats.org/drawingml/2006/picture">
        <m:r>
          <m:t>p</m:t>
        </m:r>
      </m:oMath>
      <w:r>
        <w:t xml:space="preserve"> basis functions; the multi-scale exponential features resolve the thin EDL near </w:t>
      </w:r>
      <m:oMath xmlns:a="http://schemas.openxmlformats.org/drawingml/2006/main" xmlns:pic="http://schemas.openxmlformats.org/drawingml/2006/picture">
        <m:r>
          <m:t>r</m:t>
        </m:r>
        <m:r>
          <m:rPr>
            <m:sty m:val="p"/>
          </m:rPr>
          <m:t>=</m:t>
        </m:r>
        <m:r>
          <m:t>1</m:t>
        </m:r>
      </m:oMath>
      <w:r>
        <w:t xml:space="preserve"> without increasing the trunk width. The two latent vectors are combined by an inner product, and the resulting three fields are passed through the exact-boundary and charge-balanced reconstruction. The model has </w:t>
      </w:r>
      <m:oMath xmlns:a="http://schemas.openxmlformats.org/drawingml/2006/main" xmlns:pic="http://schemas.openxmlformats.org/drawingml/2006/picture">
        <m:r>
          <m:t>p</m:t>
        </m:r>
        <m:r>
          <m:rPr>
            <m:sty m:val="p"/>
          </m:rPr>
          <m:t>=</m:t>
        </m:r>
        <m:r>
          <m:t>64</m:t>
        </m:r>
      </m:oMath>
      <w:r>
        <w:t xml:space="preserve"> and 36,880 trainable parameters. The radial basis is a design choice rather than a requirement: Section 3.3 and Supplementary Table S3 compare it against a plain MLP trunk and single-scale radial variants at matched capacity and training budget, using the configuration key </w:t>
      </w:r>
      <w:r>
        <w:rPr>
          <w:rFonts w:ascii="Consolas" w:hAnsi="Consolas"/>
          <w:sz w:val="19"/>
        </w:rPr>
        <w:t>use_radial_basis</w:t>
      </w:r>
      <w:r>
        <w:t>/</w:t>
      </w:r>
      <w:r>
        <w:rPr>
          <w:rFonts w:ascii="Consolas" w:hAnsi="Consolas"/>
          <w:sz w:val="19"/>
        </w:rPr>
        <w:t>radial_scales</w:t>
      </w:r>
      <w:r>
        <w:t xml:space="preserve"> in </w:t>
      </w:r>
      <w:r>
        <w:rPr>
          <w:rFonts w:ascii="Consolas" w:hAnsi="Consolas"/>
          <w:sz w:val="19"/>
        </w:rPr>
        <w:t>scripts/operators/deeponet.py</w:t>
      </w:r>
      <w:r>
        <w:t>.</w:t>
      </w:r>
    </w:p>
    <w:p>
      <w:r>
        <w:rPr>
          <w:b/>
        </w:rPr>
        <w:t>Parameter-conditioned two-dimensional FNO.</w:t>
      </w:r>
      <w:r>
        <w:t xml:space="preserve"> The FNO lifts the coordinate pair and the four parameters to a width of 24 channels, applies four spectral convolution blocks with </w:t>
      </w:r>
      <m:oMath xmlns:a="http://schemas.openxmlformats.org/drawingml/2006/main" xmlns:pic="http://schemas.openxmlformats.org/drawingml/2006/picture">
        <m:r>
          <m:t>8</m:t>
        </m:r>
        <m:r>
          <m:rPr>
            <m:sty m:val="p"/>
          </m:rPr>
          <m:t>×</m:t>
        </m:r>
        <m:r>
          <m:t>12</m:t>
        </m:r>
      </m:oMath>
      <w:r>
        <w:t xml:space="preserve"> modes and FiLM parameter conditioning, and projects to three fields. The spectral convolutions use a real discrete Fourier transform so that the exported graph contains no complex-valued operators. The model has 460,488 trainable parameters.</w:t>
      </w:r>
    </w:p>
    <w:p>
      <w:r>
        <w:t>Both backbones are trained with the same data and physics objective. The data term is a per-state normalized mean-squared error on the three latent fields, with the scale of each state floored at 10% of the global RMS. The physics term is the sum of the mean absolute Poisson residual, the mean absolute continuity residual for each ion, and the mean absolute wall potential and zero-flux residuals (Supplementary Section S2). The total loss, Eq. (7), is</w:t>
      </w:r>
    </w:p>
    <w:p>
      <w:pPr>
        <w:tabs>
          <w:tab w:pos="4680" w:val="center"/>
          <w:tab w:pos="9360" w:val="right"/>
        </w:tabs>
        <w:spacing w:before="120" w:after="120"/>
      </w:pPr>
      <w:r>
        <w:tab/>
      </w:r>
      <m:oMath xmlns:a="http://schemas.openxmlformats.org/drawingml/2006/main" xmlns:pic="http://schemas.openxmlformats.org/drawingml/2006/picture">
        <m:r>
          <m:rPr>
            <m:scr m:val="script"/>
            <m:sty m:val="p"/>
          </m:rPr>
          <m:t>L</m:t>
        </m:r>
        <m:r>
          <m:rPr>
            <m:sty m:val="p"/>
          </m:rPr>
          <m:t>=</m:t>
        </m:r>
        <m:sSub>
          <m:e>
            <m:r>
              <m:rPr>
                <m:scr m:val="script"/>
                <m:sty m:val="p"/>
              </m:rPr>
              <m:t>L</m:t>
            </m:r>
          </m:e>
          <m:sub>
            <m:r>
              <m:rPr>
                <m:sty m:val="p"/>
              </m:rPr>
              <m:t>d</m:t>
            </m:r>
            <m:r>
              <m:rPr>
                <m:sty m:val="p"/>
              </m:rPr>
              <m:t>a</m:t>
            </m:r>
            <m:r>
              <m:rPr>
                <m:sty m:val="p"/>
              </m:rPr>
              <m:t>t</m:t>
            </m:r>
            <m:r>
              <m:rPr>
                <m:sty m:val="p"/>
              </m:rPr>
              <m:t>a</m:t>
            </m:r>
          </m:sub>
        </m:sSub>
        <m:r>
          <m:rPr>
            <m:sty m:val="p"/>
          </m:rPr>
          <m:t>+</m:t>
        </m:r>
        <m:sSup>
          <m:e>
            <m:r>
              <m:t>10</m:t>
            </m:r>
          </m:e>
          <m:sup>
            <m:r>
              <m:rPr>
                <m:sty m:val="p"/>
              </m:rPr>
              <m:t>−</m:t>
            </m:r>
            <m:r>
              <m:t>3</m:t>
            </m:r>
          </m:sup>
        </m:sSup>
        <m:r>
          <m:t> </m:t>
        </m:r>
        <m:sSub>
          <m:e>
            <m:r>
              <m:rPr>
                <m:scr m:val="script"/>
                <m:sty m:val="p"/>
              </m:rPr>
              <m:t>L</m:t>
            </m:r>
          </m:e>
          <m:sub>
            <m:r>
              <m:rPr>
                <m:sty m:val="p"/>
              </m:rPr>
              <m:t>p</m:t>
            </m:r>
            <m:r>
              <m:rPr>
                <m:sty m:val="p"/>
              </m:rPr>
              <m:t>h</m:t>
            </m:r>
            <m:r>
              <m:rPr>
                <m:sty m:val="p"/>
              </m:rPr>
              <m:t>y</m:t>
            </m:r>
            <m:r>
              <m:rPr>
                <m:sty m:val="p"/>
              </m:rPr>
              <m:t>s</m:t>
            </m:r>
          </m:sub>
        </m:sSub>
        <m:r>
          <m:rPr>
            <m:sty m:val="p"/>
          </m:rPr>
          <m:t>.</m:t>
        </m:r>
      </m:oMath>
      <w:r>
        <w:tab/>
        <w:t>(7)</w:t>
      </w:r>
    </w:p>
    <w:p>
      <w:r>
        <w:t>The complete procedure—data generation, constraint construction, joint training, and evaluation—is summarized as Algorithm 1 in Supplementary Section S2, together with pinned dependency versions and wall-clock budgets.</w:t>
      </w:r>
    </w:p>
    <w:p>
      <w:pPr>
        <w:pStyle w:val="Heading3"/>
      </w:pPr>
      <w:r>
        <w:t>2.5 Training, splits, and metrics</w:t>
      </w:r>
    </w:p>
    <w:p>
      <w:r>
        <w:t xml:space="preserve">Models are trained with seeds 42, 43, and 44. The DeepONet is trained for 500 epochs and the FNO for 110 epochs, with batch size 36, learning rate </w:t>
      </w:r>
      <m:oMath xmlns:a="http://schemas.openxmlformats.org/drawingml/2006/main" xmlns:pic="http://schemas.openxmlformats.org/drawingml/2006/picture">
        <m:r>
          <m:t>2</m:t>
        </m:r>
        <m:r>
          <m:rPr>
            <m:sty m:val="p"/>
          </m:rPr>
          <m:t>×</m:t>
        </m:r>
        <m:sSup>
          <m:e>
            <m:r>
              <m:t>10</m:t>
            </m:r>
          </m:e>
          <m:sup>
            <m:r>
              <m:rPr>
                <m:sty m:val="p"/>
              </m:rPr>
              <m:t>−</m:t>
            </m:r>
            <m:r>
              <m:t>3</m:t>
            </m:r>
          </m:sup>
        </m:sSup>
      </m:oMath>
      <w:r>
        <w:t xml:space="preserve">, FNO width 24, FNO modes </w:t>
      </w:r>
      <m:oMath xmlns:a="http://schemas.openxmlformats.org/drawingml/2006/main" xmlns:pic="http://schemas.openxmlformats.org/drawingml/2006/picture">
        <m:r>
          <m:t>8</m:t>
        </m:r>
        <m:r>
          <m:rPr>
            <m:sty m:val="p"/>
          </m:rPr>
          <m:t>×</m:t>
        </m:r>
        <m:r>
          <m:t>12</m:t>
        </m:r>
      </m:oMath>
      <w:r>
        <w:t>, and DeepONet inner dimension 64. Training times for seed 42 are 50.59 s (DeepONet) and 108.5 s (FNO). A separate 300-epoch FNO is trained to test whether the 110-epoch budget is the limiting factor. The complete optimizer, schedule, architecture, and seed settings are tabulated in Supplementary Table S4.</w:t>
      </w:r>
    </w:p>
    <w:p>
      <w:r>
        <w:t xml:space="preserve">Accuracy is reported as the global relative </w:t>
      </w:r>
      <m:oMath xmlns:a="http://schemas.openxmlformats.org/drawingml/2006/main" xmlns:pic="http://schemas.openxmlformats.org/drawingml/2006/picture">
        <m:sSub>
          <m:e>
            <m:r>
              <m:t>L</m:t>
            </m:r>
          </m:e>
          <m:sub>
            <m:r>
              <m:t>2</m:t>
            </m:r>
          </m:sub>
        </m:sSub>
      </m:oMath>
      <w:r>
        <w:t xml:space="preserve"> error, Eq. (8),</w:t>
      </w:r>
    </w:p>
    <w:p>
      <w:pPr>
        <w:tabs>
          <w:tab w:pos="4680" w:val="center"/>
          <w:tab w:pos="9360" w:val="right"/>
        </w:tabs>
        <w:spacing w:before="120" w:after="120"/>
      </w:pPr>
      <w:r>
        <w:tab/>
      </w:r>
      <m:oMath xmlns:a="http://schemas.openxmlformats.org/drawingml/2006/main" xmlns:pic="http://schemas.openxmlformats.org/drawingml/2006/picture">
        <m:sSub>
          <m:e>
            <m:r>
              <m:t>ϵ</m:t>
            </m:r>
          </m:e>
          <m:sub>
            <m:r>
              <m:rPr>
                <m:sty m:val="p"/>
              </m:rPr>
              <m:t>r</m:t>
            </m:r>
            <m:r>
              <m:rPr>
                <m:sty m:val="p"/>
              </m:rPr>
              <m:t>e</m:t>
            </m:r>
            <m:r>
              <m:rPr>
                <m:sty m:val="p"/>
              </m:rPr>
              <m:t>l</m:t>
            </m:r>
          </m:sub>
        </m:sSub>
        <m:r>
          <m:rPr>
            <m:sty m:val="p"/>
          </m:rPr>
          <m:t>=</m:t>
        </m:r>
        <m:f>
          <m:fPr>
            <m:type m:val="bar"/>
          </m:fPr>
          <m:num>
            <m:sSub>
              <m:e>
                <m:d>
                  <m:dPr>
                    <m:begChr m:val="‖"/>
                    <m:sepChr m:val=""/>
                    <m:endChr m:val="‖"/>
                    <m:grow/>
                  </m:dPr>
                  <m:e>
                    <m:sSub>
                      <m:e>
                        <m:r>
                          <m:t>f</m:t>
                        </m:r>
                      </m:e>
                      <m:sub>
                        <m:r>
                          <m:t>θ</m:t>
                        </m:r>
                      </m:sub>
                    </m:sSub>
                    <m:r>
                      <m:rPr>
                        <m:sty m:val="p"/>
                      </m:rPr>
                      <m:t>−</m:t>
                    </m:r>
                    <m:sSub>
                      <m:e>
                        <m:r>
                          <m:t>f</m:t>
                        </m:r>
                      </m:e>
                      <m:sub>
                        <m:r>
                          <m:rPr>
                            <m:sty m:val="p"/>
                          </m:rPr>
                          <m:t>r</m:t>
                        </m:r>
                        <m:r>
                          <m:rPr>
                            <m:sty m:val="p"/>
                          </m:rPr>
                          <m:t>e</m:t>
                        </m:r>
                        <m:r>
                          <m:rPr>
                            <m:sty m:val="p"/>
                          </m:rPr>
                          <m:t>f</m:t>
                        </m:r>
                      </m:sub>
                    </m:sSub>
                  </m:e>
                </m:d>
              </m:e>
              <m:sub>
                <m:r>
                  <m:t>2</m:t>
                </m:r>
              </m:sub>
            </m:sSub>
          </m:num>
          <m:den>
            <m:sSub>
              <m:e>
                <m:d>
                  <m:dPr>
                    <m:begChr m:val="‖"/>
                    <m:sepChr m:val=""/>
                    <m:endChr m:val="‖"/>
                    <m:grow/>
                  </m:dPr>
                  <m:e>
                    <m:sSub>
                      <m:e>
                        <m:r>
                          <m:t>f</m:t>
                        </m:r>
                      </m:e>
                      <m:sub>
                        <m:r>
                          <m:rPr>
                            <m:sty m:val="p"/>
                          </m:rPr>
                          <m:t>r</m:t>
                        </m:r>
                        <m:r>
                          <m:rPr>
                            <m:sty m:val="p"/>
                          </m:rPr>
                          <m:t>e</m:t>
                        </m:r>
                        <m:r>
                          <m:rPr>
                            <m:sty m:val="p"/>
                          </m:rPr>
                          <m:t>f</m:t>
                        </m:r>
                      </m:sub>
                    </m:sSub>
                  </m:e>
                </m:d>
              </m:e>
              <m:sub>
                <m:r>
                  <m:t>2</m:t>
                </m:r>
              </m:sub>
            </m:sSub>
          </m:den>
        </m:f>
      </m:oMath>
      <w:r>
        <w:tab/>
        <w:t>(8)</w:t>
      </w:r>
    </w:p>
    <w:p>
      <w:r>
        <w:t xml:space="preserve">for </w:t>
      </w:r>
      <m:oMath xmlns:a="http://schemas.openxmlformats.org/drawingml/2006/main" xmlns:pic="http://schemas.openxmlformats.org/drawingml/2006/picture">
        <m:r>
          <m:t>ψ</m:t>
        </m:r>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r>
          <m:t>ρ</m:t>
        </m:r>
      </m:oMath>
      <w:r>
        <w:t xml:space="preserve">, and the axial current </w:t>
      </w:r>
      <m:oMath xmlns:a="http://schemas.openxmlformats.org/drawingml/2006/main" xmlns:pic="http://schemas.openxmlformats.org/drawingml/2006/picture">
        <m:r>
          <m:t>I</m:t>
        </m:r>
        <m:r>
          <m:rPr>
            <m:sty m:val="p"/>
          </m:rPr>
          <m:t>(</m:t>
        </m:r>
        <m:r>
          <m:t>z</m:t>
        </m:r>
        <m:r>
          <m:rPr>
            <m:sty m:val="p"/>
          </m:rPr>
          <m:t>)</m:t>
        </m:r>
      </m:oMath>
      <w:r>
        <w:t xml:space="preserve">, together with the mean absolute current error in pA. The current is computed from the predicted fields with the same Scharfetter–Gummel face-flux formula used by the reference solver, so current errors include both field errors and post-processing consistency. All reported means are averages over the three seeds, and spreads are reported as standard deviations in Supplementary Table S5 and in the per-state error distributions presented in Section 3.4. Extended accuracy metrics and residual diagnostics are collected in Supplementary Table S6. The manuscript reports 3–4 significant figures in the narrative and in the supplementary tables; full machine-precision values are archived in </w:t>
      </w:r>
      <w:r>
        <w:rPr>
          <w:rFonts w:ascii="Consolas" w:hAnsi="Consolas"/>
          <w:sz w:val="19"/>
        </w:rPr>
        <w:t>results/statistics.json</w:t>
      </w:r>
      <w:r>
        <w:t xml:space="preserve"> and </w:t>
      </w:r>
      <w:r>
        <w:rPr>
          <w:rFonts w:ascii="Consolas" w:hAnsi="Consolas"/>
          <w:sz w:val="19"/>
        </w:rPr>
        <w:t>results/tables/*.csv</w:t>
      </w:r>
      <w:r>
        <w:t>, and the complete tabulated breakdowns appear in Supplementary Tables S1, S2, S4–S14. Supplementary Table S14 cross-references every figure, supplementary table, and archived artifact to its source file.</w:t>
      </w:r>
    </w:p>
    <w:p>
      <w:pPr>
        <w:pStyle w:val="Heading3"/>
      </w:pPr>
      <w:r>
        <w:t>2.6 Deployment and inverse recovery</w:t>
      </w:r>
    </w:p>
    <w:p>
      <w:r>
        <w:t xml:space="preserve">The trained DeepONet and FNO are exported to ONNX. Parity is checked against PyTorch on 96 states; the maximum absolute difference is </w:t>
      </w:r>
      <m:oMath xmlns:a="http://schemas.openxmlformats.org/drawingml/2006/main" xmlns:pic="http://schemas.openxmlformats.org/drawingml/2006/picture">
        <m:r>
          <m:t>3.576</m:t>
        </m:r>
        <m:r>
          <m:rPr>
            <m:sty m:val="p"/>
          </m:rPr>
          <m:t>×</m:t>
        </m:r>
        <m:sSup>
          <m:e>
            <m:r>
              <m:t>10</m:t>
            </m:r>
          </m:e>
          <m:sup>
            <m:r>
              <m:rPr>
                <m:sty m:val="p"/>
              </m:rPr>
              <m:t>−</m:t>
            </m:r>
            <m:r>
              <m:t>7</m:t>
            </m:r>
          </m:sup>
        </m:sSup>
      </m:oMath>
      <w:r>
        <w:t>. The DeepONet is served (i) in a static browser simulator with a JavaScript evaluator and an optional in-browser SG/FV solve and (ii) in a Gradio application with operator-versus-reference comparison. Supplementary Table S13 lists the deployment and parity checks, including the browser-bundle size, the JavaScript-versus-reference agreement, and the DOM test results.</w:t>
      </w:r>
    </w:p>
    <w:p>
      <w:r>
        <w:t xml:space="preserve">For the inverse demonstration, five held-out interpolation states are selected to span the charge and radius ranges. At each state, a five-bias current–voltage curve is generated with the exact SG/FV solver at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t>50</m:t>
        </m:r>
        <m:r>
          <m:rPr>
            <m:sty m:val="p"/>
          </m:rPr>
          <m:t>,</m:t>
        </m:r>
        <m:r>
          <m:rPr>
            <m:sty m:val="p"/>
          </m:rPr>
          <m:t>−</m:t>
        </m:r>
        <m:r>
          <m:t>25</m:t>
        </m:r>
        <m:r>
          <m:rPr>
            <m:sty m:val="p"/>
          </m:rPr>
          <m:t>,</m:t>
        </m:r>
        <m:r>
          <m:t>0</m:t>
        </m:r>
        <m:r>
          <m:rPr>
            <m:sty m:val="p"/>
          </m:rPr>
          <m:t>,</m:t>
        </m:r>
        <m:r>
          <m:t>25</m:t>
        </m:r>
        <m:r>
          <m:rPr>
            <m:sty m:val="p"/>
          </m:rPr>
          <m:t>,</m:t>
        </m:r>
        <m:r>
          <m:t>50</m:t>
        </m:r>
      </m:oMath>
      <w:r>
        <w:t xml:space="preserve"> mV, and 1% Gaussian noise is added. The operator then evaluates 400 candidate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pairs at the same five biases (2000 forward evaluations) and refines the best candidates with Nelder–Mead. Radius, surface charge density, and their relative errors are recorded. The flat direction of the objective in </w:t>
      </w:r>
      <m:oMath xmlns:a="http://schemas.openxmlformats.org/drawingml/2006/main" xmlns:pic="http://schemas.openxmlformats.org/drawingml/2006/picture">
        <m:sSub>
          <m:e>
            <m:r>
              <m:t>q</m:t>
            </m:r>
          </m:e>
          <m:sub>
            <m:r>
              <m:t>w</m:t>
            </m:r>
          </m:sub>
        </m:sSub>
      </m:oMath>
      <w:r>
        <w:t xml:space="preserve"> is quantified by profiling the current mismatch over the full charge prior at the recovered radius. The 1% noise level is a deliberately conservative proxy for a clean nanopore measurement, and the grid search, rather than the local Nelder–Mead refinement, determines the reported flat direction. The identifiability conclusion is expected to weaken for asymmetric electrolytes, unequal diffusivities, or a much wider charge range; these cases are not covered by the present benchmark.</w:t>
      </w:r>
    </w:p>
    <w:p>
      <w:r>
        <w:t xml:space="preserve">To separate a measurement limitation from a surrogate limitation, the inverse study is repeated as a controlled identifiability experiment over 15 held-out states and three measurement protocols. Protocol 1 (single-salt) uses one bulk concentration; Protocol 2 (multi-salt) uses three concentrations spanning 10–100 mol </w:t>
      </w:r>
      <m:oMath xmlns:a="http://schemas.openxmlformats.org/drawingml/2006/main" xmlns:pic="http://schemas.openxmlformats.org/drawingml/2006/picture">
        <m:sSup>
          <m:e>
            <m:r>
              <m:t>m</m:t>
            </m:r>
          </m:e>
          <m:sup>
            <m:r>
              <m:rPr>
                <m:sty m:val="p"/>
              </m:rPr>
              <m:t>−</m:t>
            </m:r>
            <m:r>
              <m:t>3</m:t>
            </m:r>
          </m:sup>
        </m:sSup>
      </m:oMath>
      <w:r>
        <w:t xml:space="preserve"> to probe the EDL-overlap regime; Protocol 3 (dual) adds a near-wall Donnan selectivity observable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oMath>
      <w:r>
        <w:t xml:space="preserve"> evaluated at </w:t>
      </w:r>
      <m:oMath xmlns:a="http://schemas.openxmlformats.org/drawingml/2006/main" xmlns:pic="http://schemas.openxmlformats.org/drawingml/2006/picture">
        <m:r>
          <m:t>r</m:t>
        </m:r>
        <m:r>
          <m:rPr>
            <m:sty m:val="p"/>
          </m:rPr>
          <m:t>=</m:t>
        </m:r>
        <m:r>
          <m:t>1</m:t>
        </m:r>
      </m:oMath>
      <w:r>
        <w:t xml:space="preserve"> to the multi-salt current–voltage data. For each protocol and each relative noise level (0.2%, 1%, 2%) the operator inverts a </w:t>
      </w:r>
      <m:oMath xmlns:a="http://schemas.openxmlformats.org/drawingml/2006/main" xmlns:pic="http://schemas.openxmlformats.org/drawingml/2006/picture">
        <m:r>
          <m:t>30</m:t>
        </m:r>
        <m:r>
          <m:rPr>
            <m:sty m:val="p"/>
          </m:rPr>
          <m:t>×</m:t>
        </m:r>
        <m:r>
          <m:t>30</m:t>
        </m:r>
      </m:oMath>
      <w:r>
        <w:t xml:space="preserve"> candidate grid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followed by Nelder–Mead refinement, and the median relative errors over the 15 states are reported. In parallel, a </w:t>
      </w:r>
      <m:oMath xmlns:a="http://schemas.openxmlformats.org/drawingml/2006/main" xmlns:pic="http://schemas.openxmlformats.org/drawingml/2006/picture">
        <m:r>
          <m:t>18</m:t>
        </m:r>
        <m:r>
          <m:rPr>
            <m:sty m:val="p"/>
          </m:rPr>
          <m:t>×</m:t>
        </m:r>
        <m:r>
          <m:t>18</m:t>
        </m:r>
      </m:oMath>
      <w:r>
        <w:t xml:space="preserve"> Fisher-information sweep over </w:t>
      </w:r>
      <m:oMath xmlns:a="http://schemas.openxmlformats.org/drawingml/2006/main" xmlns:pic="http://schemas.openxmlformats.org/drawingml/2006/picture">
        <m:r>
          <m:rPr>
            <m:sty m:val="p"/>
          </m:rPr>
          <m:t>(</m:t>
        </m:r>
        <m:sSub>
          <m:e>
            <m:r>
              <m:t>λ</m:t>
            </m:r>
          </m:e>
          <m:sub>
            <m:r>
              <m:t>D</m:t>
            </m:r>
          </m:sub>
        </m:sSub>
        <m:r>
          <m:rPr>
            <m:sty m:val="p"/>
          </m:rPr>
          <m:t>/</m:t>
        </m:r>
        <m:r>
          <m:t>R</m:t>
        </m:r>
        <m:r>
          <m:rPr>
            <m:sty m:val="p"/>
          </m:rPr>
          <m:t>,</m:t>
        </m:r>
        <m:r>
          <m:rPr>
            <m:sty m:val="p"/>
          </m:rPr>
          <m:t>|</m:t>
        </m:r>
        <m:sSub>
          <m:e>
            <m:r>
              <m:t>q</m:t>
            </m:r>
          </m:e>
          <m:sub>
            <m:r>
              <m:t>w</m:t>
            </m:r>
          </m:sub>
        </m:sSub>
        <m:r>
          <m:rPr>
            <m:sty m:val="p"/>
          </m:rPr>
          <m:t>|</m:t>
        </m:r>
        <m:r>
          <m:rPr>
            <m:sty m:val="p"/>
          </m:rPr>
          <m:t>)</m:t>
        </m:r>
      </m:oMath>
      <w:r>
        <w:t xml:space="preserve"> at </w:t>
      </w:r>
      <m:oMath xmlns:a="http://schemas.openxmlformats.org/drawingml/2006/main" xmlns:pic="http://schemas.openxmlformats.org/drawingml/2006/picture">
        <m:r>
          <m:t>R</m:t>
        </m:r>
        <m:r>
          <m:rPr>
            <m:sty m:val="p"/>
          </m:rPr>
          <m:t>=</m:t>
        </m:r>
        <m:r>
          <m:t>5</m:t>
        </m:r>
      </m:oMath>
      <w:r>
        <w:t xml:space="preserve"> nm computes the dimensionless sensitivity Jacobian </w:t>
      </w:r>
      <m:oMath xmlns:a="http://schemas.openxmlformats.org/drawingml/2006/main" xmlns:pic="http://schemas.openxmlformats.org/drawingml/2006/picture">
        <m:r>
          <m:t>J</m:t>
        </m:r>
        <m:r>
          <m:rPr>
            <m:sty m:val="p"/>
          </m:rPr>
          <m:t>=</m:t>
        </m:r>
        <m:r>
          <m:rPr>
            <m:sty m:val="p"/>
          </m:rPr>
          <m:t>∂</m:t>
        </m:r>
        <m:r>
          <m:rPr>
            <m:sty m:val="p"/>
          </m:rPr>
          <m:t>ln</m:t>
        </m:r>
        <m:r>
          <m:rPr>
            <m:sty m:val="p"/>
          </m:rPr>
          <m:t>|</m:t>
        </m:r>
        <m:r>
          <m:t>I</m:t>
        </m:r>
        <m:r>
          <m:rPr>
            <m:sty m:val="p"/>
          </m:rPr>
          <m:t>|</m:t>
        </m:r>
        <m:r>
          <m:rPr>
            <m:sty m:val="p"/>
          </m:rPr>
          <m:t>/</m:t>
        </m:r>
        <m:r>
          <m:rPr>
            <m:sty m:val="p"/>
          </m:rPr>
          <m:t>∂</m:t>
        </m:r>
        <m:r>
          <m:rPr>
            <m:sty m:val="p"/>
          </m:rPr>
          <m:t>ln</m:t>
        </m:r>
        <m:r>
          <m:rPr>
            <m:sty m:val="p"/>
          </m:rPr>
          <m:t>(</m:t>
        </m:r>
        <m:r>
          <m:t>R</m:t>
        </m:r>
        <m:r>
          <m:rPr>
            <m:sty m:val="p"/>
          </m:rPr>
          <m:t>,</m:t>
        </m:r>
        <m:sSub>
          <m:e>
            <m:r>
              <m:t>q</m:t>
            </m:r>
          </m:e>
          <m:sub>
            <m:r>
              <m:t>w</m:t>
            </m:r>
          </m:sub>
        </m:sSub>
        <m:r>
          <m:rPr>
            <m:sty m:val="p"/>
          </m:rPr>
          <m:t>)</m:t>
        </m:r>
      </m:oMath>
      <w:r>
        <w:t xml:space="preserve"> and the condition number </w:t>
      </w:r>
      <m:oMath xmlns:a="http://schemas.openxmlformats.org/drawingml/2006/main" xmlns:pic="http://schemas.openxmlformats.org/drawingml/2006/picture">
        <m:r>
          <m:t>κ</m:t>
        </m:r>
        <m:r>
          <m:rPr>
            <m:sty m:val="p"/>
          </m:rPr>
          <m:t>(</m:t>
        </m:r>
        <m:r>
          <m:rPr>
            <m:scr m:val="script"/>
            <m:sty m:val="p"/>
          </m:rPr>
          <m:t>F</m:t>
        </m:r>
        <m:r>
          <m:rPr>
            <m:sty m:val="p"/>
          </m:rPr>
          <m:t>)</m:t>
        </m:r>
      </m:oMath>
      <w:r>
        <w:t xml:space="preserve">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oMath>
      <w:r>
        <w:t xml:space="preserve">; the non-zero bias points are used because the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0</m:t>
        </m:r>
      </m:oMath>
      <w:r>
        <w:t xml:space="preserve"> point carries no current information. The results are reported in Section 3.9 and Supplementary Table S15, and visualized in the identifiability and inverse-recovery panels of Figures 3 and 6.</w:t>
      </w:r>
    </w:p>
    <w:p>
      <w:pPr>
        <w:pStyle w:val="Heading2"/>
      </w:pPr>
      <w:r>
        <w:t>3. Results</w:t>
      </w:r>
    </w:p>
    <w:p>
      <w:pPr>
        <w:pStyle w:val="Heading3"/>
      </w:pPr>
      <w:r>
        <w:t>3.1 Reference dataset and solver validation</w:t>
      </w:r>
    </w:p>
    <w:p>
      <w:r>
        <w:t xml:space="preserve">All 240 states converged directly, with a maximum residual of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and strictly positive concentrations (Supplementary Table S2). The smallest anion concentration, 0.8034, occurs in the strongest-overlap states, where the EDL occupies a large fraction of the pore cross-section. The benchmark current is 196.1 pA, and the SG/FV median and mean wall times are 0.2013 s and 0.2391 s. These values define the cost baseline for the amortization analysis in Section 3.7.</w:t>
      </w:r>
    </w:p>
    <w:p>
      <w:r>
        <w:t xml:space="preserve">Figure 1 summarizes the problem. Panel A shows the axisymmetric geometry, reservoirs, wall charge, and the PNP equations. Panel B places all 240 states in the </w:t>
      </w:r>
      <m:oMath xmlns:a="http://schemas.openxmlformats.org/drawingml/2006/main" xmlns:pic="http://schemas.openxmlformats.org/drawingml/2006/picture">
        <m:r>
          <m:rPr>
            <m:sty m:val="p"/>
          </m:rPr>
          <m:t>(</m:t>
        </m:r>
        <m:sSub>
          <m:e>
            <m:r>
              <m:t>λ</m:t>
            </m:r>
          </m:e>
          <m:sub>
            <m:r>
              <m:t>D</m:t>
            </m:r>
          </m:sub>
        </m:sSub>
        <m:r>
          <m:rPr>
            <m:sty m:val="p"/>
          </m:rPr>
          <m:t>/</m:t>
        </m:r>
        <m:r>
          <m:t>R</m:t>
        </m:r>
        <m:r>
          <m:rPr>
            <m:sty m:val="p"/>
          </m:rPr>
          <m:t>,</m:t>
        </m:r>
        <m:r>
          <m:rPr>
            <m:sty m:val="p"/>
          </m:rPr>
          <m:t>|</m:t>
        </m:r>
        <m:sSub>
          <m:e>
            <m:r>
              <m:t>q</m:t>
            </m:r>
          </m:e>
          <m:sub>
            <m:r>
              <m:t>w</m:t>
            </m:r>
          </m:sub>
        </m:sSub>
        <m:r>
          <m:rPr>
            <m:sty m:val="p"/>
          </m:rPr>
          <m:t>|</m:t>
        </m:r>
        <m:r>
          <m:rPr>
            <m:sty m:val="p"/>
          </m:rPr>
          <m:t>)</m:t>
        </m:r>
      </m:oMath>
      <w:r>
        <w:t xml:space="preserve"> plane, colored by split, with the benchmark state marked; the in-distribution band and the training charge limit are indicated. Panel C shows the exact-reservoir and charge-balanced construction. Panel D compares the two backbones, including parameter counts and ONNX latencies.</w:t>
      </w:r>
    </w:p>
    <w:p>
      <w:pPr>
        <w:spacing w:before="120" w:after="40"/>
        <w:jc w:val="center"/>
      </w:pPr>
      <w:r>
        <w:drawing>
          <wp:inline xmlns:a="http://schemas.openxmlformats.org/drawingml/2006/main" xmlns:pic="http://schemas.openxmlformats.org/drawingml/2006/picture">
            <wp:extent cx="5852160" cy="3935073"/>
            <wp:docPr id="1" name="Picture 1"/>
            <wp:cNvGraphicFramePr>
              <a:graphicFrameLocks noChangeAspect="1"/>
            </wp:cNvGraphicFramePr>
            <a:graphic>
              <a:graphicData uri="http://schemas.openxmlformats.org/drawingml/2006/picture">
                <pic:pic>
                  <pic:nvPicPr>
                    <pic:cNvPr id="0" name="fig1_workflow_and_architecture.png"/>
                    <pic:cNvPicPr/>
                  </pic:nvPicPr>
                  <pic:blipFill>
                    <a:blip r:embed="rId9"/>
                    <a:stretch>
                      <a:fillRect/>
                    </a:stretch>
                  </pic:blipFill>
                  <pic:spPr>
                    <a:xfrm>
                      <a:off x="0" y="0"/>
                      <a:ext cx="5852160" cy="3935073"/>
                    </a:xfrm>
                    <a:prstGeom prst="rect"/>
                  </pic:spPr>
                </pic:pic>
              </a:graphicData>
            </a:graphic>
          </wp:inline>
        </w:drawing>
      </w:r>
    </w:p>
    <w:p>
      <w:pPr>
        <w:spacing w:after="200"/>
      </w:pPr>
      <w:r>
        <w:rPr>
          <w:b/>
          <w:sz w:val="18"/>
        </w:rPr>
        <w:t>Figure 1.</w:t>
      </w:r>
      <w:r>
        <w:rPr>
          <w:sz w:val="18"/>
        </w:rPr>
        <w:t xml:space="preserve"> Problem definition and architecture. (A) Axisymmetric charged nanopore of radius </w:t>
      </w:r>
      <m:oMath xmlns:a="http://schemas.openxmlformats.org/drawingml/2006/main" xmlns:pic="http://schemas.openxmlformats.org/drawingml/2006/picture">
        <m:r>
          <m:t>R</m:t>
        </m:r>
      </m:oMath>
      <w:r>
        <w:rPr>
          <w:sz w:val="18"/>
        </w:rPr>
        <w:t xml:space="preserve"> and length </w:t>
      </w:r>
      <m:oMath xmlns:a="http://schemas.openxmlformats.org/drawingml/2006/main" xmlns:pic="http://schemas.openxmlformats.org/drawingml/2006/picture">
        <m:r>
          <m:t>L</m:t>
        </m:r>
      </m:oMath>
      <w:r>
        <w:rPr>
          <w:sz w:val="18"/>
        </w:rPr>
        <w:t xml:space="preserve">, with fixed wall charge </w:t>
      </w:r>
      <m:oMath xmlns:a="http://schemas.openxmlformats.org/drawingml/2006/main" xmlns:pic="http://schemas.openxmlformats.org/drawingml/2006/picture">
        <m:sSub>
          <m:e>
            <m:r>
              <m:t>q</m:t>
            </m:r>
          </m:e>
          <m:sub>
            <m:r>
              <m:t>w</m:t>
            </m:r>
          </m:sub>
        </m:sSub>
      </m:oMath>
      <w:r>
        <w:rPr>
          <w:sz w:val="18"/>
        </w:rPr>
        <w:t xml:space="preserve">, reservoirs at </w:t>
      </w:r>
      <m:oMath xmlns:a="http://schemas.openxmlformats.org/drawingml/2006/main" xmlns:pic="http://schemas.openxmlformats.org/drawingml/2006/picture">
        <m:r>
          <m:t>z</m:t>
        </m:r>
        <m:r>
          <m:rPr>
            <m:sty m:val="p"/>
          </m:rPr>
          <m:t>=</m:t>
        </m:r>
        <m:r>
          <m:t>0</m:t>
        </m:r>
      </m:oMath>
      <w:r>
        <w:rPr>
          <w:sz w:val="18"/>
        </w:rPr>
        <w:t xml:space="preserve"> and </w:t>
      </w:r>
      <m:oMath xmlns:a="http://schemas.openxmlformats.org/drawingml/2006/main" xmlns:pic="http://schemas.openxmlformats.org/drawingml/2006/picture">
        <m:r>
          <m:t>z</m:t>
        </m:r>
        <m:r>
          <m:rPr>
            <m:sty m:val="p"/>
          </m:rPr>
          <m:t>=</m:t>
        </m:r>
        <m:r>
          <m:t>1</m:t>
        </m:r>
      </m:oMath>
      <w:r>
        <w:rPr>
          <w:sz w:val="18"/>
        </w:rPr>
        <w:t xml:space="preserve">, and applied bias </w:t>
      </w:r>
      <m:oMath xmlns:a="http://schemas.openxmlformats.org/drawingml/2006/main" xmlns:pic="http://schemas.openxmlformats.org/drawingml/2006/picture">
        <m:sSub>
          <m:e>
            <m:r>
              <m:t>V</m:t>
            </m:r>
          </m:e>
          <m:sub>
            <m:r>
              <m:rPr>
                <m:sty m:val="p"/>
              </m:rPr>
              <m:t>a</m:t>
            </m:r>
            <m:r>
              <m:rPr>
                <m:sty m:val="p"/>
              </m:rPr>
              <m:t>p</m:t>
            </m:r>
            <m:r>
              <m:rPr>
                <m:sty m:val="p"/>
              </m:rPr>
              <m:t>p</m:t>
            </m:r>
          </m:sub>
        </m:sSub>
      </m:oMath>
      <w:r>
        <w:rPr>
          <w:sz w:val="18"/>
        </w:rPr>
        <w:t xml:space="preserve">. (B) The 240-state operating space in the four parameters </w:t>
      </w:r>
      <m:oMath xmlns:a="http://schemas.openxmlformats.org/drawingml/2006/main" xmlns:pic="http://schemas.openxmlformats.org/drawingml/2006/picture">
        <m:r>
          <m:rPr>
            <m:sty m:val="p"/>
          </m:rPr>
          <m:t>(</m:t>
        </m:r>
        <m:sSub>
          <m:e>
            <m:r>
              <m:t>V</m:t>
            </m:r>
          </m:e>
          <m:sub>
            <m:r>
              <m:rPr>
                <m:sty m:val="p"/>
              </m:rPr>
              <m:t>a</m:t>
            </m:r>
            <m:r>
              <m:rPr>
                <m:sty m:val="p"/>
              </m:rPr>
              <m:t>p</m:t>
            </m:r>
            <m:r>
              <m:rPr>
                <m:sty m:val="p"/>
              </m:rPr>
              <m:t>p</m:t>
            </m:r>
          </m:sub>
        </m:sSub>
        <m:r>
          <m:rPr>
            <m:sty m:val="p"/>
          </m:rPr>
          <m:t>,</m:t>
        </m:r>
        <m:sSub>
          <m:e>
            <m:r>
              <m:t>C</m:t>
            </m:r>
          </m:e>
          <m:sub>
            <m:r>
              <m:t>0</m:t>
            </m:r>
          </m:sub>
        </m:sSub>
        <m:r>
          <m:rPr>
            <m:sty m:val="p"/>
          </m:rPr>
          <m:t>,</m:t>
        </m:r>
        <m:sSub>
          <m:e>
            <m:r>
              <m:t>q</m:t>
            </m:r>
          </m:e>
          <m:sub>
            <m:r>
              <m:t>w</m:t>
            </m:r>
          </m:sub>
        </m:sSub>
        <m:r>
          <m:rPr>
            <m:sty m:val="p"/>
          </m:rPr>
          <m:t>,</m:t>
        </m:r>
        <m:r>
          <m:t>R</m:t>
        </m:r>
        <m:r>
          <m:rPr>
            <m:sty m:val="p"/>
          </m:rPr>
          <m:t>)</m:t>
        </m:r>
      </m:oMath>
      <w:r>
        <w:rPr>
          <w:sz w:val="18"/>
        </w:rPr>
        <w:t>, showing the 144 training states, 48 interpolation-test states, and 48 out-of-distribution states. (C) Hard constraints imposed by the ansatz: exact reservoir potential and concentration values, zero wall ion flux, wall charge condition, and positive concentrations. (D) The two parameter-conditioned backbones: a DeepONet with a multi-scale radial trunk and a 2D Fourier neural operator, both trained with the same data and physics objective.</w:t>
      </w:r>
    </w:p>
    <w:p>
      <w:pPr>
        <w:pStyle w:val="Heading3"/>
      </w:pPr>
      <w:r>
        <w:t>3.2 Benchmark state versus a fixed-state DA-PINN</w:t>
      </w:r>
    </w:p>
    <w:p>
      <w:r>
        <w:t xml:space="preserve">Supplementary Table S7 compares the operators with the previously reported fixed-state discontinuous-Galerkin DA-PINN (COMPHY-D-26-00857) on the benchmark state. The DeepONet reaches a potential relative </w:t>
      </w:r>
      <m:oMath xmlns:a="http://schemas.openxmlformats.org/drawingml/2006/main" xmlns:pic="http://schemas.openxmlformats.org/drawingml/2006/picture">
        <m:sSub>
          <m:e>
            <m:r>
              <m:t>L</m:t>
            </m:r>
          </m:e>
          <m:sub>
            <m:r>
              <m:t>2</m:t>
            </m:r>
          </m:sub>
        </m:sSub>
      </m:oMath>
      <w:r>
        <w:t xml:space="preserve"> error of 0.0001485 and a current relative </w:t>
      </w:r>
      <m:oMath xmlns:a="http://schemas.openxmlformats.org/drawingml/2006/main" xmlns:pic="http://schemas.openxmlformats.org/drawingml/2006/picture">
        <m:sSub>
          <m:e>
            <m:r>
              <m:t>L</m:t>
            </m:r>
          </m:e>
          <m:sub>
            <m:r>
              <m:t>2</m:t>
            </m:r>
          </m:sub>
        </m:sSub>
      </m:oMath>
      <w:r>
        <w:t xml:space="preserve"> error of 0.0005587, compared with 0.000382 and 0.00102 for the DA-PINN. This is comparable or better accuracy without any per-state retraining, but the comparison is not apples-to-apples: the DA-PINN was trained specifically on this state, whereas the operator has never seen it. We therefore report the ratio (2.57-fold in potential and 1.83-fold in current) as an accuracy-per-training-cost observation rather than as evidence that the operator dominates a state-specialized model. The DeepONet net-charge error is 0.09363 versus 0.145, a 1.55-fold reduction, while its direct cation error is slightly larger than that of the DA-PINN (0.0001521 versus 0.000106, i.e., 1.44-fold higher), which is expected because the DA-PINN was trained specifically on this state while the operator must generalize across the parameter space. The FNO is less accurate here, with a potential error of 0.003298 and a current error of 0.00634, and a mean current of 196.2 pA against the reference 196.1 pA.</w:t>
      </w:r>
    </w:p>
    <w:p>
      <w:r>
        <w:t>From a computational-physics perspective the comparison has a broader reading than a single-state accuracy contest. A fixed-state DA-PINN encodes one operating point and must be retrained whenever the voltage, salt, charge, or geometry changes; the operator encodes the whole four-parameter family once. For the design, uncertainty-quantification, and inverse workflows that motivate this work—the routine workload of a physics-communication tool—the relevant figure of merit is therefore not the error at one state but the marginal cost of the next state, which the operator reduces from roughly 500 s of retraining to 0.072 ms of inference. We present the fixed-state comparison to calibrate accuracy per unit training effort, and we frame the release as a computational-physics instrument whose primary contribution is the elimination of per-state retraining rather than a claim of superiority over specialized solvers.</w:t>
      </w:r>
    </w:p>
    <w:p>
      <w:r>
        <w:t xml:space="preserve">Figure 2 resolves this single out-of-sample operating point panel by panel. Figure 2A shows the predicted potential </w:t>
      </w:r>
      <m:oMath xmlns:a="http://schemas.openxmlformats.org/drawingml/2006/main" xmlns:pic="http://schemas.openxmlformats.org/drawingml/2006/picture">
        <m:sSub>
          <m:e>
            <m:r>
              <m:t>ψ</m:t>
            </m:r>
          </m:e>
          <m:sub>
            <m:r>
              <m:t>θ</m:t>
            </m:r>
          </m:sub>
        </m:sSub>
      </m:oMath>
      <w:r>
        <w:t xml:space="preserve"> and Figure 2B the predicted cation concentration </w:t>
      </w:r>
      <m:oMath xmlns:a="http://schemas.openxmlformats.org/drawingml/2006/main" xmlns:pic="http://schemas.openxmlformats.org/drawingml/2006/picture">
        <m:sSubSup>
          <m:e>
            <m:r>
              <m:t>c</m:t>
            </m:r>
          </m:e>
          <m:sub>
            <m:r>
              <m:rPr>
                <m:sty m:val="p"/>
              </m:rPr>
              <m:t>+</m:t>
            </m:r>
          </m:sub>
          <m:sup>
            <m:r>
              <m:t>θ</m:t>
            </m:r>
          </m:sup>
        </m:sSubSup>
      </m:oMath>
      <w:r>
        <w:t xml:space="preserve">; both are smooth and symmetric about the pore axis, with the potential dropping along the axis and the cation layer accumulating against the negatively charged wall. Figure 2C shows the resulting net charge </w:t>
      </w:r>
      <m:oMath xmlns:a="http://schemas.openxmlformats.org/drawingml/2006/main" xmlns:pic="http://schemas.openxmlformats.org/drawingml/2006/picture">
        <m:sSub>
          <m:e>
            <m:r>
              <m:t>ρ</m:t>
            </m:r>
          </m:e>
          <m:sub>
            <m:r>
              <m:t>θ</m:t>
            </m:r>
          </m:sub>
        </m:sSub>
      </m:oMath>
      <w:r>
        <w:t>, which is depleted in the pore core and enriched in the thin wall layer. Figure 2D and Figure 2E map the absolute error in potential and net charge against the SG/FV reference; both errors remain localized to the reservoir transitions and the wall layer rather than accumulating in the interior. Figure 2F plots the axial current profile for the reference, the DeepONet, the FNO, and the prior fixed-state DA-PINN, and the DeepONet curve follows the reference to within the line width over most of the pore, with the largest deviations near the reservoir transitions, consistent with the error maps. The full numerical comparison underlying these panels is collected in Supplementary Table S7.</w:t>
      </w:r>
    </w:p>
    <w:p>
      <w:pPr>
        <w:spacing w:before="120" w:after="40"/>
        <w:jc w:val="center"/>
      </w:pPr>
      <w:r>
        <w:drawing>
          <wp:inline xmlns:a="http://schemas.openxmlformats.org/drawingml/2006/main" xmlns:pic="http://schemas.openxmlformats.org/drawingml/2006/picture">
            <wp:extent cx="5852160" cy="3392894"/>
            <wp:docPr id="2" name="Picture 2"/>
            <wp:cNvGraphicFramePr>
              <a:graphicFrameLocks noChangeAspect="1"/>
            </wp:cNvGraphicFramePr>
            <a:graphic>
              <a:graphicData uri="http://schemas.openxmlformats.org/drawingml/2006/picture">
                <pic:pic>
                  <pic:nvPicPr>
                    <pic:cNvPr id="0" name="fig2_benchmark_and_field_reconstruction.png"/>
                    <pic:cNvPicPr/>
                  </pic:nvPicPr>
                  <pic:blipFill>
                    <a:blip r:embed="rId10"/>
                    <a:stretch>
                      <a:fillRect/>
                    </a:stretch>
                  </pic:blipFill>
                  <pic:spPr>
                    <a:xfrm>
                      <a:off x="0" y="0"/>
                      <a:ext cx="5852160" cy="3392894"/>
                    </a:xfrm>
                    <a:prstGeom prst="rect"/>
                  </pic:spPr>
                </pic:pic>
              </a:graphicData>
            </a:graphic>
          </wp:inline>
        </w:drawing>
      </w:r>
    </w:p>
    <w:p>
      <w:pPr>
        <w:spacing w:after="200"/>
      </w:pPr>
      <w:r>
        <w:rPr>
          <w:b/>
          <w:sz w:val="18"/>
        </w:rPr>
        <w:t>Figure 2.</w:t>
      </w:r>
      <w:r>
        <w:rPr>
          <w:sz w:val="18"/>
        </w:rPr>
        <w:t xml:space="preserve"> Benchmark state (index 144, a held-out interpolation-test state;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rPr>
          <w:sz w:val="18"/>
        </w:rPr>
        <w:t xml:space="preserve"> mV, </w:t>
      </w:r>
      <m:oMath xmlns:a="http://schemas.openxmlformats.org/drawingml/2006/main" xmlns:pic="http://schemas.openxmlformats.org/drawingml/2006/picture">
        <m:sSub>
          <m:e>
            <m:r>
              <m:t>C</m:t>
            </m:r>
          </m:e>
          <m:sub>
            <m:r>
              <m:t>0</m:t>
            </m:r>
          </m:sub>
        </m:sSub>
        <m:r>
          <m:rPr>
            <m:sty m:val="p"/>
          </m:rPr>
          <m:t>=</m:t>
        </m:r>
        <m:r>
          <m:t>100</m:t>
        </m:r>
      </m:oMath>
      <w:r>
        <w:rPr>
          <w:sz w:val="18"/>
        </w:rPr>
        <w:t xml:space="preserve"> mol </w:t>
      </w:r>
      <m:oMath xmlns:a="http://schemas.openxmlformats.org/drawingml/2006/main" xmlns:pic="http://schemas.openxmlformats.org/drawingml/2006/picture">
        <m:sSup>
          <m:e>
            <m:r>
              <m:t>m</m:t>
            </m:r>
          </m:e>
          <m:sup>
            <m:r>
              <m:rPr>
                <m:sty m:val="p"/>
              </m:rPr>
              <m:t>−</m:t>
            </m:r>
            <m:r>
              <m:t>3</m:t>
            </m:r>
          </m:sup>
        </m:sSup>
      </m:oMath>
      <w:r>
        <w:rPr>
          <w:sz w:val="18"/>
        </w:rP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w:t>
      </w:r>
      <m:oMath xmlns:a="http://schemas.openxmlformats.org/drawingml/2006/main" xmlns:pic="http://schemas.openxmlformats.org/drawingml/2006/picture">
        <m:r>
          <m:t>R</m:t>
        </m:r>
        <m:r>
          <m:rPr>
            <m:sty m:val="p"/>
          </m:rPr>
          <m:t>=</m:t>
        </m:r>
        <m:r>
          <m:t>5</m:t>
        </m:r>
      </m:oMath>
      <w:r>
        <w:rPr>
          <w:sz w:val="18"/>
        </w:rPr>
        <w:t xml:space="preserve"> nm). (A) DeepONet potential </w:t>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oMath>
      <w:r>
        <w:rPr>
          <w:sz w:val="18"/>
        </w:rPr>
        <w:t xml:space="preserve">. (B) DeepONet cation concentration </w:t>
      </w:r>
      <m:oMath xmlns:a="http://schemas.openxmlformats.org/drawingml/2006/main" xmlns:pic="http://schemas.openxmlformats.org/drawingml/2006/picture">
        <m:sSubSup>
          <m:e>
            <m:r>
              <m:t>c</m:t>
            </m:r>
          </m:e>
          <m:sub>
            <m:r>
              <m:rPr>
                <m:sty m:val="p"/>
              </m:rPr>
              <m:t>+</m:t>
            </m:r>
          </m:sub>
          <m:sup>
            <m:r>
              <m:t>θ</m:t>
            </m:r>
          </m:sup>
        </m:sSubSup>
        <m:r>
          <m:rPr>
            <m:sty m:val="p"/>
          </m:rPr>
          <m:t>(</m:t>
        </m:r>
        <m:r>
          <m:t>r</m:t>
        </m:r>
        <m:r>
          <m:rPr>
            <m:sty m:val="p"/>
          </m:rPr>
          <m:t>,</m:t>
        </m:r>
        <m:r>
          <m:t>z</m:t>
        </m:r>
        <m:r>
          <m:rPr>
            <m:sty m:val="p"/>
          </m:rPr>
          <m:t>)</m:t>
        </m:r>
      </m:oMath>
      <w:r>
        <w:rPr>
          <w:sz w:val="18"/>
        </w:rPr>
        <w:t xml:space="preserve">. (C) DeepONet net charge </w:t>
      </w:r>
      <m:oMath xmlns:a="http://schemas.openxmlformats.org/drawingml/2006/main" xmlns:pic="http://schemas.openxmlformats.org/drawingml/2006/picture">
        <m:sSub>
          <m:e>
            <m:r>
              <m:t>ρ</m:t>
            </m:r>
          </m:e>
          <m:sub>
            <m:r>
              <m:t>θ</m:t>
            </m:r>
          </m:sub>
        </m:sSub>
        <m:r>
          <m:rPr>
            <m:sty m:val="p"/>
          </m:rPr>
          <m:t>=</m:t>
        </m:r>
        <m:sSubSup>
          <m:e>
            <m:r>
              <m:t>c</m:t>
            </m:r>
          </m:e>
          <m:sub>
            <m:r>
              <m:rPr>
                <m:sty m:val="p"/>
              </m:rPr>
              <m:t>+</m:t>
            </m:r>
          </m:sub>
          <m:sup>
            <m:r>
              <m:t>θ</m:t>
            </m:r>
          </m:sup>
        </m:sSubSup>
        <m:r>
          <m:rPr>
            <m:sty m:val="p"/>
          </m:rPr>
          <m:t>−</m:t>
        </m:r>
        <m:sSubSup>
          <m:e>
            <m:r>
              <m:t>c</m:t>
            </m:r>
          </m:e>
          <m:sub>
            <m:r>
              <m:rPr>
                <m:sty m:val="p"/>
              </m:rPr>
              <m:t>−</m:t>
            </m:r>
          </m:sub>
          <m:sup>
            <m:r>
              <m:t>θ</m:t>
            </m:r>
          </m:sup>
        </m:sSubSup>
      </m:oMath>
      <w:r>
        <w:rPr>
          <w:sz w:val="18"/>
        </w:rPr>
        <w:t xml:space="preserve">. (D) Absolute potential error against the SG/FV reference. (E) Absolute net-charge error. (F) Axial current profile </w:t>
      </w:r>
      <m:oMath xmlns:a="http://schemas.openxmlformats.org/drawingml/2006/main" xmlns:pic="http://schemas.openxmlformats.org/drawingml/2006/picture">
        <m:r>
          <m:t>I</m:t>
        </m:r>
        <m:r>
          <m:rPr>
            <m:sty m:val="p"/>
          </m:rPr>
          <m:t>(</m:t>
        </m:r>
        <m:r>
          <m:t>z</m:t>
        </m:r>
        <m:r>
          <m:rPr>
            <m:sty m:val="p"/>
          </m:rPr>
          <m:t>)</m:t>
        </m:r>
      </m:oMath>
      <w:r>
        <w:rPr>
          <w:sz w:val="18"/>
        </w:rPr>
        <w:t xml:space="preserve"> for the SG/FV reference, the DeepONet, the FNO, and the prior fixed-state DA-PINN (band shows its reported error). All fields are normalized by their reference scales and plotted on the physical grid.</w:t>
      </w:r>
    </w:p>
    <w:p>
      <w:pPr>
        <w:pStyle w:val="Heading3"/>
      </w:pPr>
      <w:r>
        <w:t>3.3 In-distribution accuracy and the value of charge reparameterization</w:t>
      </w:r>
    </w:p>
    <w:p>
      <w:r>
        <w:t xml:space="preserve">Averaged over three seeds and 48 interpolation states, the DeepONet attains relative </w:t>
      </w:r>
      <m:oMath xmlns:a="http://schemas.openxmlformats.org/drawingml/2006/main" xmlns:pic="http://schemas.openxmlformats.org/drawingml/2006/picture">
        <m:sSub>
          <m:e>
            <m:r>
              <m:t>L</m:t>
            </m:r>
          </m:e>
          <m:sub>
            <m:r>
              <m:t>2</m:t>
            </m:r>
          </m:sub>
        </m:sSub>
      </m:oMath>
      <w:r>
        <w:t xml:space="preserve"> errors of 0.0008914 for </w:t>
      </w:r>
      <m:oMath xmlns:a="http://schemas.openxmlformats.org/drawingml/2006/main" xmlns:pic="http://schemas.openxmlformats.org/drawingml/2006/picture">
        <m:r>
          <m:t>ψ</m:t>
        </m:r>
      </m:oMath>
      <w:r>
        <w:t xml:space="preserve">, 0.0007275 for </w:t>
      </w:r>
      <m:oMath xmlns:a="http://schemas.openxmlformats.org/drawingml/2006/main" xmlns:pic="http://schemas.openxmlformats.org/drawingml/2006/picture">
        <m:sSub>
          <m:e>
            <m:r>
              <m:t>c</m:t>
            </m:r>
          </m:e>
          <m:sub>
            <m:r>
              <m:rPr>
                <m:sty m:val="p"/>
              </m:rPr>
              <m:t>+</m:t>
            </m:r>
          </m:sub>
        </m:sSub>
      </m:oMath>
      <w:r>
        <w:t xml:space="preserve">, 0.08248 for </w:t>
      </w:r>
      <m:oMath xmlns:a="http://schemas.openxmlformats.org/drawingml/2006/main" xmlns:pic="http://schemas.openxmlformats.org/drawingml/2006/picture">
        <m:r>
          <m:t>ρ</m:t>
        </m:r>
      </m:oMath>
      <w:r>
        <w:t xml:space="preserve">, and 0.001093 for </w:t>
      </w:r>
      <m:oMath xmlns:a="http://schemas.openxmlformats.org/drawingml/2006/main" xmlns:pic="http://schemas.openxmlformats.org/drawingml/2006/picture">
        <m:r>
          <m:t>I</m:t>
        </m:r>
      </m:oMath>
      <w:r>
        <w:t>. The mean absolute current error is 0.08031 pA. The FNO attains 0.005495, 0.001641, 0.0931, and 0.008511, respectively, with a mean absolute current error of 0.6746 pA. The DeepONet is therefore 6.16-fold more accurate for potential, 2.26-fold for cation concentration, 1.13-fold for net charge, and 7.79-fold for current.</w:t>
      </w:r>
    </w:p>
    <w:p>
      <w:r>
        <w:t xml:space="preserve">The net-charge metric is the most sensitive to the output parameterization. With direct concentration outputs, the interp-test net-charge error rises to 0.7116 for the DeepONet and 0.9578 for the FNO; the charge-balanced parameterization reduces these to 0.08248 and 0.0931, i.e., by 8.63-fold and 10.29-fold. This is the cancellation mechanism: when </w:t>
      </w:r>
      <m:oMath xmlns:a="http://schemas.openxmlformats.org/drawingml/2006/main" xmlns:pic="http://schemas.openxmlformats.org/drawingml/2006/picture">
        <m:sSub>
          <m:e>
            <m:r>
              <m:t>c</m:t>
            </m:r>
          </m:e>
          <m:sub>
            <m:r>
              <m:rPr>
                <m:sty m:val="p"/>
              </m:rPr>
              <m:t>+</m:t>
            </m:r>
          </m:sub>
        </m:sSub>
      </m:oMath>
      <w:r>
        <w:t xml:space="preserve"> and </w:t>
      </w:r>
      <m:oMath xmlns:a="http://schemas.openxmlformats.org/drawingml/2006/main" xmlns:pic="http://schemas.openxmlformats.org/drawingml/2006/picture">
        <m:sSub>
          <m:e>
            <m:r>
              <m:t>c</m:t>
            </m:r>
          </m:e>
          <m:sub>
            <m:r>
              <m:rPr>
                <m:sty m:val="p"/>
              </m:rPr>
              <m:t>−</m:t>
            </m:r>
          </m:sub>
        </m:sSub>
      </m:oMath>
      <w:r>
        <w:t xml:space="preserve"> are predicted independently, small relative errors in each field produce a large relative error in their difference, especially in the weakly charged states where </w:t>
      </w:r>
      <m:oMath xmlns:a="http://schemas.openxmlformats.org/drawingml/2006/main" xmlns:pic="http://schemas.openxmlformats.org/drawingml/2006/picture">
        <m:r>
          <m:t>ρ</m:t>
        </m:r>
      </m:oMath>
      <w:r>
        <w:t xml:space="preserve"> is small. Predicting </w:t>
      </w:r>
      <m:oMath xmlns:a="http://schemas.openxmlformats.org/drawingml/2006/main" xmlns:pic="http://schemas.openxmlformats.org/drawingml/2006/picture">
        <m:r>
          <m:t>s</m:t>
        </m:r>
      </m:oMath>
      <w:r>
        <w:t xml:space="preserve"> and </w:t>
      </w:r>
      <m:oMath xmlns:a="http://schemas.openxmlformats.org/drawingml/2006/main" xmlns:pic="http://schemas.openxmlformats.org/drawingml/2006/picture">
        <m:r>
          <m:t>ρ</m:t>
        </m:r>
      </m:oMath>
      <w:r>
        <w:t xml:space="preserve"> and reconstructing </w:t>
      </w:r>
      <m:oMath xmlns:a="http://schemas.openxmlformats.org/drawingml/2006/main" xmlns:pic="http://schemas.openxmlformats.org/drawingml/2006/picture">
        <m:sSub>
          <m:e>
            <m:r>
              <m:t>c</m:t>
            </m:r>
          </m:e>
          <m:sub>
            <m:r>
              <m:rPr>
                <m:sty m:val="p"/>
              </m:rPr>
              <m:t>±</m:t>
            </m:r>
          </m:sub>
        </m:sSub>
      </m:oMath>
      <w:r>
        <w:t xml:space="preserve"> removes that cancellation. Figure 3 makes the mechanism concrete. Figure 3A compares four constraint schemes trained on the identical PI-DeepONet backbone with three seeds: direct concentration outputs, a soft charge penalty (ten times a mean-squared charge mismatch), a linear orthogonal projection with a Softplus positivity map, and the hyperbolic reparameterization used here (Supplementary Table S16). The reparameterization and the linear projection are statistically indistinguishable in accuracy (interp-test net-charge error </w:t>
      </w:r>
      <m:oMath xmlns:a="http://schemas.openxmlformats.org/drawingml/2006/main" xmlns:pic="http://schemas.openxmlformats.org/drawingml/2006/picture">
        <m:r>
          <m:t>0.207</m:t>
        </m:r>
        <m:r>
          <m:rPr>
            <m:sty m:val="p"/>
          </m:rPr>
          <m:t>±</m:t>
        </m:r>
        <m:r>
          <m:t>0.015</m:t>
        </m:r>
      </m:oMath>
      <w:r>
        <w:t xml:space="preserve"> versus </w:t>
      </w:r>
      <m:oMath xmlns:a="http://schemas.openxmlformats.org/drawingml/2006/main" xmlns:pic="http://schemas.openxmlformats.org/drawingml/2006/picture">
        <m:r>
          <m:t>0.201</m:t>
        </m:r>
        <m:r>
          <m:rPr>
            <m:sty m:val="p"/>
          </m:rPr>
          <m:t>±</m:t>
        </m:r>
        <m:r>
          <m:t>0.021</m:t>
        </m:r>
      </m:oMath>
      <w:r>
        <w:t>; OOD 0.258 versus 0.260), and both reduce the error about 4.5-fold relative to direct outputs (</w:t>
      </w:r>
      <m:oMath xmlns:a="http://schemas.openxmlformats.org/drawingml/2006/main" xmlns:pic="http://schemas.openxmlformats.org/drawingml/2006/picture">
        <m:r>
          <m:t>0.933</m:t>
        </m:r>
        <m:r>
          <m:rPr>
            <m:sty m:val="p"/>
          </m:rPr>
          <m:t>±</m:t>
        </m:r>
        <m:r>
          <m:t>0.008</m:t>
        </m:r>
      </m:oMath>
      <w:r>
        <w:t>). The soft penalty improves on direct outputs (</w:t>
      </w:r>
      <m:oMath xmlns:a="http://schemas.openxmlformats.org/drawingml/2006/main" xmlns:pic="http://schemas.openxmlformats.org/drawingml/2006/picture">
        <m:r>
          <m:t>0.411</m:t>
        </m:r>
        <m:r>
          <m:rPr>
            <m:sty m:val="p"/>
          </m:rPr>
          <m:t>±</m:t>
        </m:r>
        <m:r>
          <m:t>0.187</m:t>
        </m:r>
      </m:oMath>
      <w:r>
        <w:t xml:space="preserve">) but is unstable across seeds. Figure 3B shows why the algebraic route is preferable: the linear projection leaves a charge-identity mismatch of </w:t>
      </w:r>
      <m:oMath xmlns:a="http://schemas.openxmlformats.org/drawingml/2006/main" xmlns:pic="http://schemas.openxmlformats.org/drawingml/2006/picture">
        <m:r>
          <m:t>4.2</m:t>
        </m:r>
        <m:r>
          <m:rPr>
            <m:sty m:val="p"/>
          </m:rPr>
          <m:t>×</m:t>
        </m:r>
        <m:sSup>
          <m:e>
            <m:r>
              <m:t>10</m:t>
            </m:r>
          </m:e>
          <m:sup>
            <m:r>
              <m:rPr>
                <m:sty m:val="p"/>
              </m:rPr>
              <m:t>−</m:t>
            </m:r>
            <m:r>
              <m:t>8</m:t>
            </m:r>
          </m:sup>
        </m:sSup>
      </m:oMath>
      <w:r>
        <w:t>, whereas the hyperbolic reconstruction is exact to machine precision (</w:t>
      </w:r>
      <m:oMath xmlns:a="http://schemas.openxmlformats.org/drawingml/2006/main" xmlns:pic="http://schemas.openxmlformats.org/drawingml/2006/picture">
        <m:r>
          <m:t>1.1</m:t>
        </m:r>
        <m:r>
          <m:rPr>
            <m:sty m:val="p"/>
          </m:rPr>
          <m:t>×</m:t>
        </m:r>
        <m:sSup>
          <m:e>
            <m:r>
              <m:t>10</m:t>
            </m:r>
          </m:e>
          <m:sup>
            <m:r>
              <m:rPr>
                <m:sty m:val="p"/>
              </m:rPr>
              <m:t>−</m:t>
            </m:r>
            <m:r>
              <m:t>16</m:t>
            </m:r>
          </m:sup>
        </m:sSup>
      </m:oMath>
      <w:r>
        <w:t xml:space="preserve">) at the same accuracy and wall-gradient error. Figure 3C examines the complementary physics-loss ablation discussed in Section 3.8, and Figure 3D sweeps the physics weight: </w:t>
      </w:r>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r>
          <m:rPr>
            <m:sty m:val="p"/>
          </m:rPr>
          <m:t>=</m:t>
        </m:r>
        <m:sSup>
          <m:e>
            <m:r>
              <m:t>10</m:t>
            </m:r>
          </m:e>
          <m:sup>
            <m:r>
              <m:rPr>
                <m:sty m:val="p"/>
              </m:rPr>
              <m:t>−</m:t>
            </m:r>
            <m:r>
              <m:t>3</m:t>
            </m:r>
          </m:sup>
        </m:sSup>
      </m:oMath>
      <w:r>
        <w:t xml:space="preserve"> minimizes both net-charge and wall-gradient error, while larger weights monotonically reduce the interior Poisson residual but degrade field accuracy, so </w:t>
      </w:r>
      <m:oMath xmlns:a="http://schemas.openxmlformats.org/drawingml/2006/main" xmlns:pic="http://schemas.openxmlformats.org/drawingml/2006/picture">
        <m:sSup>
          <m:e>
            <m:r>
              <m:t>10</m:t>
            </m:r>
          </m:e>
          <m:sup>
            <m:r>
              <m:rPr>
                <m:sty m:val="p"/>
              </m:rPr>
              <m:t>−</m:t>
            </m:r>
            <m:r>
              <m:t>3</m:t>
            </m:r>
          </m:sup>
        </m:sSup>
      </m:oMath>
      <w:r>
        <w:t xml:space="preserve"> is the Pareto point (Supplementary Table S17).</w:t>
      </w:r>
    </w:p>
    <w:p>
      <w:r>
        <w:t xml:space="preserve">Panels E and F of Figure 3 report the two architectural and identifiability studies. Figure 3E normalizes the interp-test net-charge and wall-gradient errors of six trunk variants to the plain MLP trunk (Supplementary Table S3). The plain MLP trunk gives the lowest net-charge error (0.0914), while the radial variants do not improve it (0.098–0.116) but reduce the wall-gradient error by about 7% (radial </w:t>
      </w:r>
      <m:oMath xmlns:a="http://schemas.openxmlformats.org/drawingml/2006/main" xmlns:pic="http://schemas.openxmlformats.org/drawingml/2006/picture">
        <m:r>
          <m:t>k</m:t>
        </m:r>
        <m:r>
          <m:rPr>
            <m:sty m:val="p"/>
          </m:rPr>
          <m:t>=</m:t>
        </m:r>
        <m:r>
          <m:t>30</m:t>
        </m:r>
      </m:oMath>
      <w:r>
        <w:t xml:space="preserve">: </w:t>
      </w:r>
      <m:oMath xmlns:a="http://schemas.openxmlformats.org/drawingml/2006/main" xmlns:pic="http://schemas.openxmlformats.org/drawingml/2006/picture">
        <m:r>
          <m:t>4.83</m:t>
        </m:r>
        <m:r>
          <m:rPr>
            <m:sty m:val="p"/>
          </m:rPr>
          <m:t>×</m:t>
        </m:r>
        <m:sSup>
          <m:e>
            <m:r>
              <m:t>10</m:t>
            </m:r>
          </m:e>
          <m:sup>
            <m:r>
              <m:rPr>
                <m:sty m:val="p"/>
              </m:rPr>
              <m:t>−</m:t>
            </m:r>
            <m:r>
              <m:t>3</m:t>
            </m:r>
          </m:sup>
        </m:sSup>
      </m:oMath>
      <w:r>
        <w:t xml:space="preserve"> versus </w:t>
      </w:r>
      <m:oMath xmlns:a="http://schemas.openxmlformats.org/drawingml/2006/main" xmlns:pic="http://schemas.openxmlformats.org/drawingml/2006/picture">
        <m:r>
          <m:t>5.20</m:t>
        </m:r>
        <m:r>
          <m:rPr>
            <m:sty m:val="p"/>
          </m:rPr>
          <m:t>×</m:t>
        </m:r>
        <m:sSup>
          <m:e>
            <m:r>
              <m:t>10</m:t>
            </m:r>
          </m:e>
          <m:sup>
            <m:r>
              <m:rPr>
                <m:sty m:val="p"/>
              </m:rPr>
              <m:t>−</m:t>
            </m:r>
            <m:r>
              <m:t>3</m:t>
            </m:r>
          </m:sup>
        </m:sSup>
      </m:oMath>
      <w:r>
        <w:t xml:space="preserve">) and give the best integrated-current errors (multi-scale 0.274%, radial </w:t>
      </w:r>
      <m:oMath xmlns:a="http://schemas.openxmlformats.org/drawingml/2006/main" xmlns:pic="http://schemas.openxmlformats.org/drawingml/2006/picture">
        <m:r>
          <m:t>k</m:t>
        </m:r>
        <m:r>
          <m:rPr>
            <m:sty m:val="p"/>
          </m:rPr>
          <m:t>=</m:t>
        </m:r>
        <m:r>
          <m:t>30</m:t>
        </m:r>
      </m:oMath>
      <w:r>
        <w:t xml:space="preserve"> 0.320%, versus 0.364%). The radial basis is therefore a modest near-wall inductive bias, not a requirement. Figure 3F maps </w:t>
      </w:r>
      <m:oMath xmlns:a="http://schemas.openxmlformats.org/drawingml/2006/main" xmlns:pic="http://schemas.openxmlformats.org/drawingml/2006/picture">
        <m:sSub>
          <m:e>
            <m:r>
              <m:rPr>
                <m:sty m:val="p"/>
              </m:rPr>
              <m:t>log</m:t>
            </m:r>
          </m:e>
          <m:sub>
            <m:r>
              <m:t>10</m:t>
            </m:r>
          </m:sub>
        </m:sSub>
        <m:r>
          <m:t>κ</m:t>
        </m:r>
        <m:r>
          <m:rPr>
            <m:sty m:val="p"/>
          </m:rPr>
          <m:t>(</m:t>
        </m:r>
        <m:r>
          <m:rPr>
            <m:scr m:val="script"/>
            <m:sty m:val="p"/>
          </m:rPr>
          <m:t>F</m:t>
        </m:r>
        <m:r>
          <m:rPr>
            <m:sty m:val="p"/>
          </m:rPr>
          <m:t>)</m:t>
        </m:r>
      </m:oMath>
      <w:r>
        <w:t xml:space="preserve"> over the </w:t>
      </w:r>
      <m:oMath xmlns:a="http://schemas.openxmlformats.org/drawingml/2006/main" xmlns:pic="http://schemas.openxmlformats.org/drawingml/2006/picture">
        <m:r>
          <m:rPr>
            <m:sty m:val="p"/>
          </m:rPr>
          <m:t>(</m:t>
        </m:r>
        <m:sSub>
          <m:e>
            <m:r>
              <m:t>λ</m:t>
            </m:r>
          </m:e>
          <m:sub>
            <m:r>
              <m:t>D</m:t>
            </m:r>
          </m:sub>
        </m:sSub>
        <m:r>
          <m:rPr>
            <m:sty m:val="p"/>
          </m:rPr>
          <m:t>/</m:t>
        </m:r>
        <m:r>
          <m:t>R</m:t>
        </m:r>
        <m:r>
          <m:rPr>
            <m:sty m:val="p"/>
          </m:rPr>
          <m:t>,</m:t>
        </m:r>
        <m:r>
          <m:rPr>
            <m:sty m:val="p"/>
          </m:rPr>
          <m:t>|</m:t>
        </m:r>
        <m:sSub>
          <m:e>
            <m:r>
              <m:t>q</m:t>
            </m:r>
          </m:e>
          <m:sub>
            <m:r>
              <m:t>w</m:t>
            </m:r>
          </m:sub>
        </m:sSub>
        <m:r>
          <m:rPr>
            <m:sty m:val="p"/>
          </m:rPr>
          <m:t>|</m:t>
        </m:r>
        <m:r>
          <m:rPr>
            <m:sty m:val="p"/>
          </m:rPr>
          <m:t>)</m:t>
        </m:r>
      </m:oMath>
      <w:r>
        <w:t xml:space="preserve"> plane; the dimensionless sensitivity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xml:space="preserve"> is 2.029 throughout (the current scales as the pore area), whereas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oMath>
      <w:r>
        <w:t xml:space="preserve"> never exceeds </w:t>
      </w:r>
      <m:oMath xmlns:a="http://schemas.openxmlformats.org/drawingml/2006/main" xmlns:pic="http://schemas.openxmlformats.org/drawingml/2006/picture">
        <m:r>
          <m:t>1.6</m:t>
        </m:r>
        <m:r>
          <m:rPr>
            <m:sty m:val="p"/>
          </m:rPr>
          <m:t>×</m:t>
        </m:r>
        <m:sSup>
          <m:e>
            <m:r>
              <m:t>10</m:t>
            </m:r>
          </m:e>
          <m:sup>
            <m:r>
              <m:rPr>
                <m:sty m:val="p"/>
              </m:rPr>
              <m:t>−</m:t>
            </m:r>
            <m:r>
              <m:t>3</m:t>
            </m:r>
          </m:sup>
        </m:sSup>
      </m:oMath>
      <w:r>
        <w:t>, so the near-null Fisher direction is the charge axis for every operating point (Supplementary Table S15). This is the geometric origin of the inverse-recovery degeneracy analyzed in Section 3.9.</w:t>
      </w:r>
    </w:p>
    <w:p>
      <w:pPr>
        <w:spacing w:before="120" w:after="40"/>
        <w:jc w:val="center"/>
      </w:pPr>
      <w:r>
        <w:drawing>
          <wp:inline xmlns:a="http://schemas.openxmlformats.org/drawingml/2006/main" xmlns:pic="http://schemas.openxmlformats.org/drawingml/2006/picture">
            <wp:extent cx="5852160" cy="2984445"/>
            <wp:docPr id="3" name="Picture 3"/>
            <wp:cNvGraphicFramePr>
              <a:graphicFrameLocks noChangeAspect="1"/>
            </wp:cNvGraphicFramePr>
            <a:graphic>
              <a:graphicData uri="http://schemas.openxmlformats.org/drawingml/2006/picture">
                <pic:pic>
                  <pic:nvPicPr>
                    <pic:cNvPr id="0" name="fig3_h3_charge_reparameterization_ablation.png"/>
                    <pic:cNvPicPr/>
                  </pic:nvPicPr>
                  <pic:blipFill>
                    <a:blip r:embed="rId11"/>
                    <a:stretch>
                      <a:fillRect/>
                    </a:stretch>
                  </pic:blipFill>
                  <pic:spPr>
                    <a:xfrm>
                      <a:off x="0" y="0"/>
                      <a:ext cx="5852160" cy="2984445"/>
                    </a:xfrm>
                    <a:prstGeom prst="rect"/>
                  </pic:spPr>
                </pic:pic>
              </a:graphicData>
            </a:graphic>
          </wp:inline>
        </w:drawing>
      </w:r>
    </w:p>
    <w:p>
      <w:pPr>
        <w:spacing w:after="200"/>
      </w:pPr>
      <w:r>
        <w:rPr>
          <w:b/>
          <w:sz w:val="18"/>
        </w:rPr>
        <w:t>Figure 3.</w:t>
      </w:r>
      <w:r>
        <w:rPr>
          <w:sz w:val="18"/>
        </w:rPr>
        <w:t xml:space="preserve"> Constraint-scheme benchmark, physics-weight sweep, physics-loss and trunk ablation, and Fisher conditioning. (A) Interpolation-test (solid) and OOD (hatched) net-charge relative </w:t>
      </w:r>
      <m:oMath xmlns:a="http://schemas.openxmlformats.org/drawingml/2006/main" xmlns:pic="http://schemas.openxmlformats.org/drawingml/2006/picture">
        <m:sSub>
          <m:e>
            <m:r>
              <m:t>L</m:t>
            </m:r>
          </m:e>
          <m:sub>
            <m:r>
              <m:t>2</m:t>
            </m:r>
          </m:sub>
        </m:sSub>
      </m:oMath>
      <w:r>
        <w:rPr>
          <w:sz w:val="18"/>
        </w:rPr>
        <w:t xml:space="preserve"> error for four constraint schemes on the identical PI-DeepONet backbone; bars are three-seed mean </w:t>
      </w:r>
      <m:oMath xmlns:a="http://schemas.openxmlformats.org/drawingml/2006/main" xmlns:pic="http://schemas.openxmlformats.org/drawingml/2006/picture">
        <m:r>
          <m:rPr>
            <m:sty m:val="p"/>
          </m:rPr>
          <m:t>±</m:t>
        </m:r>
      </m:oMath>
      <w:r>
        <w:rPr>
          <w:sz w:val="18"/>
        </w:rPr>
        <w:t xml:space="preserve"> SD. (B) Charge-identity mismatch </w:t>
      </w:r>
      <m:oMath xmlns:a="http://schemas.openxmlformats.org/drawingml/2006/main" xmlns:pic="http://schemas.openxmlformats.org/drawingml/2006/picture">
        <m:r>
          <m:rPr>
            <m:sty m:val="p"/>
          </m:rPr>
          <m:t>|</m:t>
        </m:r>
        <m:r>
          <m:t>ρ</m:t>
        </m:r>
        <m:r>
          <m:rPr>
            <m:sty m:val="p"/>
          </m:rPr>
          <m:t>−</m:t>
        </m:r>
        <m:sSub>
          <m:e>
            <m:r>
              <m:t>ρ</m:t>
            </m:r>
          </m:e>
          <m:sub>
            <m:r>
              <m:rPr>
                <m:sty m:val="p"/>
              </m:rPr>
              <m:t>l</m:t>
            </m:r>
            <m:r>
              <m:rPr>
                <m:sty m:val="p"/>
              </m:rPr>
              <m:t>a</m:t>
            </m:r>
            <m:r>
              <m:rPr>
                <m:sty m:val="p"/>
              </m:rPr>
              <m:t>t</m:t>
            </m:r>
            <m:r>
              <m:rPr>
                <m:sty m:val="p"/>
              </m:rPr>
              <m:t>e</m:t>
            </m:r>
            <m:r>
              <m:rPr>
                <m:sty m:val="p"/>
              </m:rPr>
              <m:t>n</m:t>
            </m:r>
            <m:r>
              <m:rPr>
                <m:sty m:val="p"/>
              </m:rPr>
              <m:t>t</m:t>
            </m:r>
          </m:sub>
        </m:sSub>
        <m:r>
          <m:rPr>
            <m:sty m:val="p"/>
          </m:rPr>
          <m:t>|</m:t>
        </m:r>
      </m:oMath>
      <w:r>
        <w:rPr>
          <w:sz w:val="18"/>
        </w:rPr>
        <w:t xml:space="preserve"> and wall-gradient error for the four schemes; the hyperbolic reconstruction and the direct scheme are exact by construction, whereas the linear projection leaves a finite mismatch. (C) Physics-loss ablation on the interpolation-test split for the wall-gradient and interior Poisson residuals. (D) Physics-weight sensitivity at seed 42: net-charge error (left axis) and wall-gradient and Poisson residuals (right axis) versus </w:t>
      </w:r>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oMath>
      <w:r>
        <w:rPr>
          <w:sz w:val="18"/>
        </w:rPr>
        <w:t xml:space="preserve">. (E) Trunk ablation at matched capacity and 500 epochs: interp-test net-charge and wall-gradient errors of the plain MLP trunk and five radial variants, normalized to the MLP trunk (dashed line). (F) Fisher condition number </w:t>
      </w:r>
      <m:oMath xmlns:a="http://schemas.openxmlformats.org/drawingml/2006/main" xmlns:pic="http://schemas.openxmlformats.org/drawingml/2006/picture">
        <m:sSub>
          <m:e>
            <m:r>
              <m:rPr>
                <m:sty m:val="p"/>
              </m:rPr>
              <m:t>log</m:t>
            </m:r>
          </m:e>
          <m:sub>
            <m:r>
              <m:t>10</m:t>
            </m:r>
          </m:sub>
        </m:sSub>
        <m:r>
          <m:t>κ</m:t>
        </m:r>
        <m:r>
          <m:rPr>
            <m:sty m:val="p"/>
          </m:rPr>
          <m:t>(</m:t>
        </m:r>
        <m:r>
          <m:rPr>
            <m:scr m:val="script"/>
            <m:sty m:val="p"/>
          </m:rPr>
          <m:t>F</m:t>
        </m:r>
        <m:r>
          <m:rPr>
            <m:sty m:val="p"/>
          </m:rPr>
          <m:t>)</m:t>
        </m:r>
      </m:oMath>
      <w:r>
        <w:rPr>
          <w:sz w:val="18"/>
        </w:rPr>
        <w:t xml:space="preserve"> over the </w:t>
      </w:r>
      <m:oMath xmlns:a="http://schemas.openxmlformats.org/drawingml/2006/main" xmlns:pic="http://schemas.openxmlformats.org/drawingml/2006/picture">
        <m:r>
          <m:rPr>
            <m:sty m:val="p"/>
          </m:rPr>
          <m:t>(</m:t>
        </m:r>
        <m:sSub>
          <m:e>
            <m:r>
              <m:t>λ</m:t>
            </m:r>
          </m:e>
          <m:sub>
            <m:r>
              <m:t>D</m:t>
            </m:r>
          </m:sub>
        </m:sSub>
        <m:r>
          <m:rPr>
            <m:sty m:val="p"/>
          </m:rPr>
          <m:t>/</m:t>
        </m:r>
        <m:r>
          <m:t>R</m:t>
        </m:r>
        <m:r>
          <m:rPr>
            <m:sty m:val="p"/>
          </m:rPr>
          <m:t>,</m:t>
        </m:r>
        <m:r>
          <m:rPr>
            <m:sty m:val="p"/>
          </m:rPr>
          <m:t>|</m:t>
        </m:r>
        <m:sSub>
          <m:e>
            <m:r>
              <m:t>q</m:t>
            </m:r>
          </m:e>
          <m:sub>
            <m:r>
              <m:t>w</m:t>
            </m:r>
          </m:sub>
        </m:sSub>
        <m:r>
          <m:rPr>
            <m:sty m:val="p"/>
          </m:rPr>
          <m:t>|</m:t>
        </m:r>
        <m:r>
          <m:rPr>
            <m:sty m:val="p"/>
          </m:rPr>
          <m:t>)</m:t>
        </m:r>
      </m:oMath>
      <w:r>
        <w:rPr>
          <w:sz w:val="18"/>
        </w:rPr>
        <w:t xml:space="preserve"> plane with white contours at </w:t>
      </w:r>
      <m:oMath xmlns:a="http://schemas.openxmlformats.org/drawingml/2006/main" xmlns:pic="http://schemas.openxmlformats.org/drawingml/2006/picture">
        <m:r>
          <m:t>κ</m:t>
        </m:r>
        <m:r>
          <m:rPr>
            <m:sty m:val="p"/>
          </m:rPr>
          <m:t>=</m:t>
        </m:r>
        <m:sSup>
          <m:e>
            <m:r>
              <m:t>10</m:t>
            </m:r>
          </m:e>
          <m:sup>
            <m:r>
              <m:t>9</m:t>
            </m:r>
            <m:r>
              <m:rPr>
                <m:sty m:val="p"/>
              </m:rPr>
              <m:t>,</m:t>
            </m:r>
            <m:r>
              <m:t>10</m:t>
            </m:r>
            <m:r>
              <m:rPr>
                <m:sty m:val="p"/>
              </m:rPr>
              <m:t>,</m:t>
            </m:r>
            <m:r>
              <m:t>11</m:t>
            </m:r>
          </m:sup>
        </m:sSup>
      </m:oMath>
      <w:r>
        <w:rPr>
          <w:sz w:val="18"/>
        </w:rPr>
        <w:t>; the current is insensitive to wall charge at every operating point.</w:t>
      </w:r>
    </w:p>
    <w:p>
      <w:r>
        <w:t>A 300-epoch FNO reduces the interp-test potential error from 0.005495 to 0.002195 (2.50-fold) and the current error from 0.008511 to 0.003349 (2.54-fold), with smaller gains out of distribution (Supplementary Table S9). The 110-epoch FNO is therefore not fully converged in-distribution, but its ranking against the DeepONet is unchanged; the DeepONet remains more accurate at a fraction of the parameter count.</w:t>
      </w:r>
    </w:p>
    <w:p>
      <w:pPr>
        <w:pStyle w:val="Heading3"/>
      </w:pPr>
      <w:r>
        <w:t>3.4 Out-of-distribution behavior</w:t>
      </w:r>
    </w:p>
    <w:p>
      <w:r>
        <w:t xml:space="preserve">The OOD split combines charge/salt extrapolation and geometry/voltage extrapolation. For the DeepONet, the relative </w:t>
      </w:r>
      <m:oMath xmlns:a="http://schemas.openxmlformats.org/drawingml/2006/main" xmlns:pic="http://schemas.openxmlformats.org/drawingml/2006/picture">
        <m:sSub>
          <m:e>
            <m:r>
              <m:t>L</m:t>
            </m:r>
          </m:e>
          <m:sub>
            <m:r>
              <m:t>2</m:t>
            </m:r>
          </m:sub>
        </m:sSub>
      </m:oMath>
      <w:r>
        <w:t xml:space="preserve"> errors are 0.02024 for </w:t>
      </w:r>
      <m:oMath xmlns:a="http://schemas.openxmlformats.org/drawingml/2006/main" xmlns:pic="http://schemas.openxmlformats.org/drawingml/2006/picture">
        <m:r>
          <m:t>ψ</m:t>
        </m:r>
      </m:oMath>
      <w:r>
        <w:t xml:space="preserve">, 0.0213 for </w:t>
      </w:r>
      <m:oMath xmlns:a="http://schemas.openxmlformats.org/drawingml/2006/main" xmlns:pic="http://schemas.openxmlformats.org/drawingml/2006/picture">
        <m:sSub>
          <m:e>
            <m:r>
              <m:t>c</m:t>
            </m:r>
          </m:e>
          <m:sub>
            <m:r>
              <m:rPr>
                <m:sty m:val="p"/>
              </m:rPr>
              <m:t>+</m:t>
            </m:r>
          </m:sub>
        </m:sSub>
      </m:oMath>
      <w:r>
        <w:t xml:space="preserve">, 0.3678 for </w:t>
      </w:r>
      <m:oMath xmlns:a="http://schemas.openxmlformats.org/drawingml/2006/main" xmlns:pic="http://schemas.openxmlformats.org/drawingml/2006/picture">
        <m:r>
          <m:t>ρ</m:t>
        </m:r>
      </m:oMath>
      <w:r>
        <w:t xml:space="preserve">, and 0.001363 for </w:t>
      </w:r>
      <m:oMath xmlns:a="http://schemas.openxmlformats.org/drawingml/2006/main" xmlns:pic="http://schemas.openxmlformats.org/drawingml/2006/picture">
        <m:r>
          <m:t>I</m:t>
        </m:r>
      </m:oMath>
      <w:r>
        <w:t>; the mean absolute current error is 0.1077 pA. For the FNO the corresponding values are 0.02079, 0.01487, 0.2241, and 0.009123, with a mean absolute current error of 0.5338 pA. The two models are statistically indistinguishable for potential (FNO/DeepONet ratio 1.03), while the FNO is better for cation concentration (1.43-fold) and net charge (1.64-fold), and the DeepONet is better for current (6.69-fold).</w:t>
      </w:r>
    </w:p>
    <w:p>
      <w:r>
        <w:t>The regime shift is visible in the potential error: the DeepONet OOD potential error is 22.7-fold larger than its interp-test value, whereas the FNO grows only 3.78-fold because it starts from a larger in-distribution error. Current is far more robust than the pointwise fields: both models keep OOD current errors below 1%, because the current is an integral of the flux and benefits from error cancellation, whereas pointwise concentrations and potentials remain sensitive to local extrapolation error. Field-level OOD predictions should therefore be interpreted more cautiously than current–voltage predictions. This distinction matters for applications: if the target is a measured current–voltage curve, the operator transfers better than the field-level metrics suggest, but if the target is a local concentration or charge profile, OOD accuracy must be checked explicitly.</w:t>
      </w:r>
    </w:p>
    <w:p>
      <w:r>
        <w:t xml:space="preserve">Figure 4A shows the per-state relative </w:t>
      </w:r>
      <m:oMath xmlns:a="http://schemas.openxmlformats.org/drawingml/2006/main" xmlns:pic="http://schemas.openxmlformats.org/drawingml/2006/picture">
        <m:sSub>
          <m:e>
            <m:r>
              <m:t>L</m:t>
            </m:r>
          </m:e>
          <m:sub>
            <m:r>
              <m:t>2</m:t>
            </m:r>
          </m:sub>
        </m:sSub>
      </m:oMath>
      <w:r>
        <w:t xml:space="preserve"> error distributions for potential, net charge, and current on both splits, Figure 4B resolves the net-charge and current errors against the EDL overlap parameter </w:t>
      </w:r>
      <m:oMath xmlns:a="http://schemas.openxmlformats.org/drawingml/2006/main" xmlns:pic="http://schemas.openxmlformats.org/drawingml/2006/picture">
        <m:sSub>
          <m:e>
            <m:r>
              <m:t>λ</m:t>
            </m:r>
          </m:e>
          <m:sub>
            <m:r>
              <m:t>D</m:t>
            </m:r>
          </m:sub>
        </m:sSub>
        <m:r>
          <m:rPr>
            <m:sty m:val="p"/>
          </m:rPr>
          <m:t>/</m:t>
        </m:r>
        <m:r>
          <m:t>R</m:t>
        </m:r>
      </m:oMath>
      <w:r>
        <w:t>, and Figure 4C shows the current parity over all 96 test states with a residual subpanel. The parity slope is close to unity and the coefficient of determination is 1 to four decimal places; the residual inset shows no systematic bias with current magnitude.</w:t>
      </w:r>
    </w:p>
    <w:p>
      <w:r>
        <w:t xml:space="preserve">Figure 4D adds a data-scaling study on the expanded 384-state dataset (Supplementary Table S3). Nested training subsets of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r>
          <m:rPr>
            <m:sty m:val="p"/>
          </m:rPr>
          <m:t>=</m:t>
        </m:r>
        <m:r>
          <m:t>36</m:t>
        </m:r>
        <m:r>
          <m:rPr>
            <m:sty m:val="p"/>
          </m:rPr>
          <m:t>,</m:t>
        </m:r>
        <m:r>
          <m:t>72</m:t>
        </m:r>
        <m:r>
          <m:rPr>
            <m:sty m:val="p"/>
          </m:rPr>
          <m:t>,</m:t>
        </m:r>
        <m:r>
          <m:t>144</m:t>
        </m:r>
        <m:r>
          <m:rPr>
            <m:sty m:val="p"/>
          </m:rPr>
          <m:t>,</m:t>
        </m:r>
        <m:r>
          <m:t>288</m:t>
        </m:r>
      </m:oMath>
      <w:r>
        <w:t xml:space="preserve"> give interp-test net-charge errors that fall from 0.3927 to 0.1299 and potential errors that fall from 0.0054 to 0.0020, fitting </w:t>
      </w:r>
      <m:oMath xmlns:a="http://schemas.openxmlformats.org/drawingml/2006/main" xmlns:pic="http://schemas.openxmlformats.org/drawingml/2006/picture">
        <m:sSub>
          <m:e>
            <m:r>
              <m:t>ϵ</m:t>
            </m:r>
          </m:e>
          <m:sub>
            <m:r>
              <m:t>ρ</m:t>
            </m:r>
          </m:sub>
        </m:sSub>
        <m:r>
          <m:rPr>
            <m:sty m:val="p"/>
          </m:rPr>
          <m:t>=</m:t>
        </m:r>
        <m:r>
          <m:t>3.14</m:t>
        </m:r>
        <m:r>
          <m:t> </m:t>
        </m:r>
        <m:sSubSup>
          <m:e>
            <m:r>
              <m:t>N</m:t>
            </m:r>
          </m:e>
          <m:sub>
            <m:r>
              <m:rPr>
                <m:sty m:val="p"/>
              </m:rPr>
              <m:t>t</m:t>
            </m:r>
            <m:r>
              <m:rPr>
                <m:sty m:val="p"/>
              </m:rPr>
              <m:t>r</m:t>
            </m:r>
            <m:r>
              <m:rPr>
                <m:sty m:val="p"/>
              </m:rPr>
              <m:t>a</m:t>
            </m:r>
            <m:r>
              <m:rPr>
                <m:sty m:val="p"/>
              </m:rPr>
              <m:t>i</m:t>
            </m:r>
            <m:r>
              <m:rPr>
                <m:sty m:val="p"/>
              </m:rPr>
              <m:t>n</m:t>
            </m:r>
          </m:sub>
          <m:sup>
            <m:r>
              <m:rPr>
                <m:sty m:val="p"/>
              </m:rPr>
              <m:t>−</m:t>
            </m:r>
            <m:r>
              <m:t>0.552</m:t>
            </m:r>
          </m:sup>
        </m:sSubSup>
      </m:oMath>
      <w:r>
        <w:t xml:space="preserve"> and </w:t>
      </w:r>
      <m:oMath xmlns:a="http://schemas.openxmlformats.org/drawingml/2006/main" xmlns:pic="http://schemas.openxmlformats.org/drawingml/2006/picture">
        <m:sSub>
          <m:e>
            <m:r>
              <m:t>ϵ</m:t>
            </m:r>
          </m:e>
          <m:sub>
            <m:r>
              <m:t>ψ</m:t>
            </m:r>
          </m:sub>
        </m:sSub>
        <m:r>
          <m:rPr>
            <m:sty m:val="p"/>
          </m:rPr>
          <m:t>=</m:t>
        </m:r>
        <m:r>
          <m:t>0.0391</m:t>
        </m:r>
        <m:r>
          <m:t> </m:t>
        </m:r>
        <m:sSubSup>
          <m:e>
            <m:r>
              <m:t>N</m:t>
            </m:r>
          </m:e>
          <m:sub>
            <m:r>
              <m:rPr>
                <m:sty m:val="p"/>
              </m:rPr>
              <m:t>t</m:t>
            </m:r>
            <m:r>
              <m:rPr>
                <m:sty m:val="p"/>
              </m:rPr>
              <m:t>r</m:t>
            </m:r>
            <m:r>
              <m:rPr>
                <m:sty m:val="p"/>
              </m:rPr>
              <m:t>a</m:t>
            </m:r>
            <m:r>
              <m:rPr>
                <m:sty m:val="p"/>
              </m:rPr>
              <m:t>i</m:t>
            </m:r>
            <m:r>
              <m:rPr>
                <m:sty m:val="p"/>
              </m:rPr>
              <m:t>n</m:t>
            </m:r>
          </m:sub>
          <m:sup>
            <m:r>
              <m:rPr>
                <m:sty m:val="p"/>
              </m:rPr>
              <m:t>−</m:t>
            </m:r>
            <m:r>
              <m:t>0.535</m:t>
            </m:r>
          </m:sup>
        </m:sSubSup>
      </m:oMath>
      <w:r>
        <w:t xml:space="preserve">. In-distribution accuracy therefore tracks roughly </w:t>
      </w:r>
      <m:oMath xmlns:a="http://schemas.openxmlformats.org/drawingml/2006/main" xmlns:pic="http://schemas.openxmlformats.org/drawingml/2006/picture">
        <m:sSup>
          <m:e>
            <m:r>
              <m:t>N</m:t>
            </m:r>
          </m:e>
          <m:sup>
            <m:r>
              <m:rPr>
                <m:sty m:val="p"/>
              </m:rPr>
              <m:t>−</m:t>
            </m:r>
            <m:r>
              <m:t>1</m:t>
            </m:r>
            <m:r>
              <m:rPr>
                <m:sty m:val="p"/>
              </m:rPr>
              <m:t>/</m:t>
            </m:r>
            <m:r>
              <m:t>2</m:t>
            </m:r>
          </m:sup>
        </m:sSup>
      </m:oMath>
      <w:r>
        <w:t>, the rate expected for a smooth operator in four dimensions with the current loss, but the out-of-distribution net-charge error changes only from 0.317 to 0.253 over the same eight-fold increase (</w:t>
      </w:r>
      <m:oMath xmlns:a="http://schemas.openxmlformats.org/drawingml/2006/main" xmlns:pic="http://schemas.openxmlformats.org/drawingml/2006/picture">
        <m:r>
          <m:t>α</m:t>
        </m:r>
        <m:r>
          <m:rPr>
            <m:sty m:val="p"/>
          </m:rPr>
          <m:t>=</m:t>
        </m:r>
        <m:r>
          <m:t>0.13</m:t>
        </m:r>
      </m:oMath>
      <w:r>
        <w:t>). The training box, not the sample count, is the binding constraint on extrapolation, which reinforces the field-versus-current distinction above.</w:t>
      </w:r>
    </w:p>
    <w:p>
      <w:pPr>
        <w:spacing w:before="120" w:after="40"/>
        <w:jc w:val="center"/>
      </w:pPr>
      <w:r>
        <w:drawing>
          <wp:inline xmlns:a="http://schemas.openxmlformats.org/drawingml/2006/main" xmlns:pic="http://schemas.openxmlformats.org/drawingml/2006/picture">
            <wp:extent cx="5852160" cy="3201518"/>
            <wp:docPr id="4" name="Picture 4"/>
            <wp:cNvGraphicFramePr>
              <a:graphicFrameLocks noChangeAspect="1"/>
            </wp:cNvGraphicFramePr>
            <a:graphic>
              <a:graphicData uri="http://schemas.openxmlformats.org/drawingml/2006/picture">
                <pic:pic>
                  <pic:nvPicPr>
                    <pic:cNvPr id="0" name="fig4_h1_h2_interp_vs_ood_regimes.png"/>
                    <pic:cNvPicPr/>
                  </pic:nvPicPr>
                  <pic:blipFill>
                    <a:blip r:embed="rId12"/>
                    <a:stretch>
                      <a:fillRect/>
                    </a:stretch>
                  </pic:blipFill>
                  <pic:spPr>
                    <a:xfrm>
                      <a:off x="0" y="0"/>
                      <a:ext cx="5852160" cy="3201518"/>
                    </a:xfrm>
                    <a:prstGeom prst="rect"/>
                  </pic:spPr>
                </pic:pic>
              </a:graphicData>
            </a:graphic>
          </wp:inline>
        </w:drawing>
      </w:r>
    </w:p>
    <w:p>
      <w:pPr>
        <w:spacing w:after="200"/>
      </w:pPr>
      <w:r>
        <w:rPr>
          <w:b/>
          <w:sz w:val="18"/>
        </w:rPr>
        <w:t>Figure 4.</w:t>
      </w:r>
      <w:r>
        <w:rPr>
          <w:sz w:val="18"/>
        </w:rPr>
        <w:t xml:space="preserve"> In-distribution versus out-of-distribution behavior and data scaling. (A) Per-state relative </w:t>
      </w:r>
      <m:oMath xmlns:a="http://schemas.openxmlformats.org/drawingml/2006/main" xmlns:pic="http://schemas.openxmlformats.org/drawingml/2006/picture">
        <m:sSub>
          <m:e>
            <m:r>
              <m:t>L</m:t>
            </m:r>
          </m:e>
          <m:sub>
            <m:r>
              <m:t>2</m:t>
            </m:r>
          </m:sub>
        </m:sSub>
      </m:oMath>
      <w:r>
        <w:rPr>
          <w:sz w:val="18"/>
        </w:rPr>
        <w:t xml:space="preserve"> error distributions for potential, net charge, and current for the DeepONet and FNO on the interpolation-test and OOD splits; boxes show the median and interquartile range and whiskers extend to the full state range. (B) Error versus EDL overlap parameter for net charge (filled symbols) and axial current (open triangles). (C) Current parity for the 96 test states, with the residual (prediction minus reference, in pA) shown in the lower subpanel; the dashed line is the identity. (D) Data-scaling law on the 384-state dataset: interp-test and OOD net-charge error and interp-test potential error versus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r>
        <w:rPr>
          <w:sz w:val="18"/>
        </w:rPr>
        <w:t xml:space="preserve">, with fitted power laws and an </w:t>
      </w:r>
      <m:oMath xmlns:a="http://schemas.openxmlformats.org/drawingml/2006/main" xmlns:pic="http://schemas.openxmlformats.org/drawingml/2006/picture">
        <m:sSup>
          <m:e>
            <m:r>
              <m:t>N</m:t>
            </m:r>
          </m:e>
          <m:sup>
            <m:r>
              <m:rPr>
                <m:sty m:val="p"/>
              </m:rPr>
              <m:t>−</m:t>
            </m:r>
            <m:r>
              <m:t>1</m:t>
            </m:r>
            <m:r>
              <m:rPr>
                <m:sty m:val="p"/>
              </m:rPr>
              <m:t>/</m:t>
            </m:r>
            <m:r>
              <m:t>2</m:t>
            </m:r>
          </m:sup>
        </m:sSup>
      </m:oMath>
      <w:r>
        <w:rPr>
          <w:sz w:val="18"/>
        </w:rPr>
        <w:t xml:space="preserve"> reference.</w:t>
      </w:r>
    </w:p>
    <w:p>
      <w:pPr>
        <w:pStyle w:val="Heading3"/>
      </w:pPr>
      <w:r>
        <w:t>3.5 Continuous parametric control</w:t>
      </w:r>
    </w:p>
    <w:p>
      <w:r>
        <w:t xml:space="preserve">Beyond pointwise accuracy, the operator must behave as a smooth function of its inputs, because design and inversion workflows query it at parameter values that were never training states. Figure 5 tests exactly this. Figure 5A sweeps the applied voltage from </w:t>
      </w:r>
      <m:oMath xmlns:a="http://schemas.openxmlformats.org/drawingml/2006/main" xmlns:pic="http://schemas.openxmlformats.org/drawingml/2006/picture">
        <m:r>
          <m:rPr>
            <m:sty m:val="p"/>
          </m:rPr>
          <m:t>−</m:t>
        </m:r>
        <m:r>
          <m:t>50</m:t>
        </m:r>
      </m:oMath>
      <w:r>
        <w:t xml:space="preserve"> to 50 mV at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for three radii (3, 5, and 7 nm) and compares the operator current–voltage curves with on-the-fly SG/FV solves at five biases; the curves overlap across the full range and the ordering with radius is monotone, as expected from the pore cross-section. Figure 5B plots the near-wall cation concentration against bulk salt from 10 to 200 mol </w:t>
      </w:r>
      <m:oMath xmlns:a="http://schemas.openxmlformats.org/drawingml/2006/main" xmlns:pic="http://schemas.openxmlformats.org/drawingml/2006/picture">
        <m:sSup>
          <m:e>
            <m:r>
              <m:t>m</m:t>
            </m:r>
          </m:e>
          <m:sup>
            <m:r>
              <m:rPr>
                <m:sty m:val="p"/>
              </m:rPr>
              <m:t>−</m:t>
            </m:r>
            <m:r>
              <m:t>3</m:t>
            </m:r>
          </m:sup>
        </m:sSup>
      </m:oMath>
      <w:r>
        <w:t xml:space="preserve"> at </w:t>
      </w:r>
      <m:oMath xmlns:a="http://schemas.openxmlformats.org/drawingml/2006/main" xmlns:pic="http://schemas.openxmlformats.org/drawingml/2006/picture">
        <m:r>
          <m:t>R</m:t>
        </m:r>
        <m:r>
          <m:rPr>
            <m:sty m:val="p"/>
          </m:rPr>
          <m:t>=</m:t>
        </m:r>
        <m:r>
          <m:t>5</m:t>
        </m:r>
      </m:oMath>
      <w:r>
        <w:t xml:space="preserve"> nm, showing the transition from EDL-dominated enrichment at low salinity to bulk-like values at high salinity. Figure 5C shows the radial net-charge profile at </w:t>
      </w:r>
      <m:oMath xmlns:a="http://schemas.openxmlformats.org/drawingml/2006/main" xmlns:pic="http://schemas.openxmlformats.org/drawingml/2006/picture">
        <m:sSub>
          <m:e>
            <m:r>
              <m:t>C</m:t>
            </m:r>
          </m:e>
          <m:sub>
            <m:r>
              <m:t>0</m:t>
            </m:r>
          </m:sub>
        </m:sSub>
        <m:r>
          <m:rPr>
            <m:sty m:val="p"/>
          </m:rPr>
          <m:t>=</m:t>
        </m:r>
        <m:r>
          <m:t>20</m:t>
        </m:r>
      </m:oMath>
      <w:r>
        <w:t xml:space="preserve">, 100, and 200 mol </w:t>
      </w:r>
      <m:oMath xmlns:a="http://schemas.openxmlformats.org/drawingml/2006/main" xmlns:pic="http://schemas.openxmlformats.org/drawingml/2006/picture">
        <m:sSup>
          <m:e>
            <m:r>
              <m:t>m</m:t>
            </m:r>
          </m:e>
          <m:sup>
            <m:r>
              <m:rPr>
                <m:sty m:val="p"/>
              </m:rPr>
              <m:t>−</m:t>
            </m:r>
            <m:r>
              <m:t>3</m:t>
            </m:r>
          </m:sup>
        </m:sSup>
      </m:oMath>
      <w:r>
        <w:t>, where the profile changes from overlap-dominated to wall-localized as salinity increases. Because every curve in Figure 5 is an interpolation at a parameter combination that is not a training state, the panels test the operator as a function rather than as a lookup table.</w:t>
      </w:r>
    </w:p>
    <w:p>
      <w:pPr>
        <w:spacing w:before="120" w:after="40"/>
        <w:jc w:val="center"/>
      </w:pPr>
      <w:r>
        <w:drawing>
          <wp:inline xmlns:a="http://schemas.openxmlformats.org/drawingml/2006/main" xmlns:pic="http://schemas.openxmlformats.org/drawingml/2006/picture">
            <wp:extent cx="5852160" cy="2200759"/>
            <wp:docPr id="5" name="Picture 5"/>
            <wp:cNvGraphicFramePr>
              <a:graphicFrameLocks noChangeAspect="1"/>
            </wp:cNvGraphicFramePr>
            <a:graphic>
              <a:graphicData uri="http://schemas.openxmlformats.org/drawingml/2006/picture">
                <pic:pic>
                  <pic:nvPicPr>
                    <pic:cNvPr id="0" name="fig5_parametric_physics_sweeps.png"/>
                    <pic:cNvPicPr/>
                  </pic:nvPicPr>
                  <pic:blipFill>
                    <a:blip r:embed="rId13"/>
                    <a:stretch>
                      <a:fillRect/>
                    </a:stretch>
                  </pic:blipFill>
                  <pic:spPr>
                    <a:xfrm>
                      <a:off x="0" y="0"/>
                      <a:ext cx="5852160" cy="2200759"/>
                    </a:xfrm>
                    <a:prstGeom prst="rect"/>
                  </pic:spPr>
                </pic:pic>
              </a:graphicData>
            </a:graphic>
          </wp:inline>
        </w:drawing>
      </w:r>
    </w:p>
    <w:p>
      <w:pPr>
        <w:spacing w:after="200"/>
      </w:pPr>
      <w:r>
        <w:rPr>
          <w:b/>
          <w:sz w:val="18"/>
        </w:rPr>
        <w:t>Figure 5.</w:t>
      </w:r>
      <w:r>
        <w:rPr>
          <w:sz w:val="18"/>
        </w:rPr>
        <w:t xml:space="preserve"> Continuous parametric control. (A) Current–voltage curves from </w:t>
      </w:r>
      <m:oMath xmlns:a="http://schemas.openxmlformats.org/drawingml/2006/main" xmlns:pic="http://schemas.openxmlformats.org/drawingml/2006/picture">
        <m:r>
          <m:rPr>
            <m:sty m:val="p"/>
          </m:rPr>
          <m:t>−</m:t>
        </m:r>
        <m:r>
          <m:t>50</m:t>
        </m:r>
      </m:oMath>
      <w:r>
        <w:rPr>
          <w:sz w:val="18"/>
        </w:rPr>
        <w:t xml:space="preserve"> to 50 mV at </w:t>
      </w:r>
      <m:oMath xmlns:a="http://schemas.openxmlformats.org/drawingml/2006/main" xmlns:pic="http://schemas.openxmlformats.org/drawingml/2006/picture">
        <m:sSub>
          <m:e>
            <m:r>
              <m:t>C</m:t>
            </m:r>
          </m:e>
          <m:sub>
            <m:r>
              <m:t>0</m:t>
            </m:r>
          </m:sub>
        </m:sSub>
        <m:r>
          <m:rPr>
            <m:sty m:val="p"/>
          </m:rPr>
          <m:t>=</m:t>
        </m:r>
        <m:r>
          <m:t>100</m:t>
        </m:r>
      </m:oMath>
      <w:r>
        <w:rPr>
          <w:sz w:val="18"/>
        </w:rPr>
        <w:t xml:space="preserve"> mol </w:t>
      </w:r>
      <m:oMath xmlns:a="http://schemas.openxmlformats.org/drawingml/2006/main" xmlns:pic="http://schemas.openxmlformats.org/drawingml/2006/picture">
        <m:sSup>
          <m:e>
            <m:r>
              <m:t>m</m:t>
            </m:r>
          </m:e>
          <m:sup>
            <m:r>
              <m:rPr>
                <m:sty m:val="p"/>
              </m:rPr>
              <m:t>−</m:t>
            </m:r>
            <m:r>
              <m:t>3</m:t>
            </m:r>
          </m:sup>
        </m:sSup>
      </m:oMath>
      <w:r>
        <w:rPr>
          <w:sz w:val="18"/>
        </w:rPr>
        <w:t xml:space="preserve"> and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for </w:t>
      </w:r>
      <m:oMath xmlns:a="http://schemas.openxmlformats.org/drawingml/2006/main" xmlns:pic="http://schemas.openxmlformats.org/drawingml/2006/picture">
        <m:r>
          <m:t>R</m:t>
        </m:r>
        <m:r>
          <m:rPr>
            <m:sty m:val="p"/>
          </m:rPr>
          <m:t>=</m:t>
        </m:r>
        <m:r>
          <m:t>3</m:t>
        </m:r>
      </m:oMath>
      <w:r>
        <w:rPr>
          <w:sz w:val="18"/>
        </w:rPr>
        <w:t xml:space="preserve">, 5, and 7 nm; symbols are SG/FV solves at five biases and lines are operator predictions. (B) Near-wall cation concentration versus bulk concentration from 10 to 200 mol </w:t>
      </w:r>
      <m:oMath xmlns:a="http://schemas.openxmlformats.org/drawingml/2006/main" xmlns:pic="http://schemas.openxmlformats.org/drawingml/2006/picture">
        <m:sSup>
          <m:e>
            <m:r>
              <m:t>m</m:t>
            </m:r>
          </m:e>
          <m:sup>
            <m:r>
              <m:rPr>
                <m:sty m:val="p"/>
              </m:rPr>
              <m:t>−</m:t>
            </m:r>
            <m:r>
              <m:t>3</m:t>
            </m:r>
          </m:sup>
        </m:sSup>
      </m:oMath>
      <w:r>
        <w:rPr>
          <w:sz w:val="18"/>
        </w:rPr>
        <w:t xml:space="preserve"> at </w:t>
      </w:r>
      <m:oMath xmlns:a="http://schemas.openxmlformats.org/drawingml/2006/main" xmlns:pic="http://schemas.openxmlformats.org/drawingml/2006/picture">
        <m:r>
          <m:t>R</m:t>
        </m:r>
        <m:r>
          <m:rPr>
            <m:sty m:val="p"/>
          </m:rPr>
          <m:t>=</m:t>
        </m:r>
        <m:r>
          <m:t>5</m:t>
        </m:r>
      </m:oMath>
      <w:r>
        <w:rPr>
          <w:sz w:val="18"/>
        </w:rPr>
        <w:t xml:space="preserve"> nm and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(C) Radial net-charge profiles at </w:t>
      </w:r>
      <m:oMath xmlns:a="http://schemas.openxmlformats.org/drawingml/2006/main" xmlns:pic="http://schemas.openxmlformats.org/drawingml/2006/picture">
        <m:sSub>
          <m:e>
            <m:r>
              <m:t>C</m:t>
            </m:r>
          </m:e>
          <m:sub>
            <m:r>
              <m:t>0</m:t>
            </m:r>
          </m:sub>
        </m:sSub>
        <m:r>
          <m:rPr>
            <m:sty m:val="p"/>
          </m:rPr>
          <m:t>=</m:t>
        </m:r>
        <m:r>
          <m:t>20</m:t>
        </m:r>
      </m:oMath>
      <w:r>
        <w:rPr>
          <w:sz w:val="18"/>
        </w:rPr>
        <w:t xml:space="preserve">, 100, and 200 mol </w:t>
      </w:r>
      <m:oMath xmlns:a="http://schemas.openxmlformats.org/drawingml/2006/main" xmlns:pic="http://schemas.openxmlformats.org/drawingml/2006/picture">
        <m:sSup>
          <m:e>
            <m:r>
              <m:t>m</m:t>
            </m:r>
          </m:e>
          <m:sup>
            <m:r>
              <m:rPr>
                <m:sty m:val="p"/>
              </m:rPr>
              <m:t>−</m:t>
            </m:r>
            <m:r>
              <m:t>3</m:t>
            </m:r>
          </m:sup>
        </m:sSup>
      </m:oMath>
      <w:r>
        <w:rPr>
          <w:sz w:val="18"/>
        </w:rPr>
        <w:t xml:space="preserve"> for </w:t>
      </w:r>
      <m:oMath xmlns:a="http://schemas.openxmlformats.org/drawingml/2006/main" xmlns:pic="http://schemas.openxmlformats.org/drawingml/2006/picture">
        <m:r>
          <m:t>R</m:t>
        </m:r>
        <m:r>
          <m:rPr>
            <m:sty m:val="p"/>
          </m:rPr>
          <m:t>=</m:t>
        </m:r>
        <m:r>
          <m:t>5</m:t>
        </m:r>
      </m:oMath>
      <w:r>
        <w:rPr>
          <w:sz w:val="18"/>
        </w:rPr>
        <w:t xml:space="preserve"> nm, showing the transition from EDL overlap to wall-localized charge. These parameter values are interpolations, not training states.</w:t>
      </w:r>
    </w:p>
    <w:p>
      <w:pPr>
        <w:pStyle w:val="Heading3"/>
      </w:pPr>
      <w:r>
        <w:t>3.6 Charge reparameterization as a structural fix</w:t>
      </w:r>
    </w:p>
    <w:p>
      <w:r>
        <w:t xml:space="preserve">The ablation in Figure 3 and Supplementary Table S5 isolates the effect of the output parameterization. The reparameterized models are not merely better on average; they remove the heavy tail of the direct-charge models. In the weakest-charge quartile, the direct models produce relative net-charge errors near unity, whereas the reparameterized models remain below 0.15. The same ordering holds for the FNO, so the benefit is architectural rather than specific to the DeepONet. Supplementary Tables S11, S12 give the full conditioning breakdown by </w:t>
      </w:r>
      <m:oMath xmlns:a="http://schemas.openxmlformats.org/drawingml/2006/main" xmlns:pic="http://schemas.openxmlformats.org/drawingml/2006/picture">
        <m:r>
          <m:rPr>
            <m:sty m:val="p"/>
          </m:rPr>
          <m:t>|</m:t>
        </m:r>
        <m:sSub>
          <m:e>
            <m:r>
              <m:t>q</m:t>
            </m:r>
          </m:e>
          <m:sub>
            <m:r>
              <m:t>w</m:t>
            </m:r>
          </m:sub>
        </m:sSub>
        <m:r>
          <m:rPr>
            <m:sty m:val="p"/>
          </m:rPr>
          <m:t>|</m:t>
        </m:r>
      </m:oMath>
      <w:r>
        <w:t xml:space="preserve"> quartile and by EDL-overlap ratio </w:t>
      </w:r>
      <m:oMath xmlns:a="http://schemas.openxmlformats.org/drawingml/2006/main" xmlns:pic="http://schemas.openxmlformats.org/drawingml/2006/picture">
        <m:sSub>
          <m:e>
            <m:r>
              <m:t>λ</m:t>
            </m:r>
          </m:e>
          <m:sub>
            <m:r>
              <m:t>D</m:t>
            </m:r>
          </m:sub>
        </m:sSub>
        <m:r>
          <m:rPr>
            <m:sty m:val="p"/>
          </m:rPr>
          <m:t>/</m:t>
        </m:r>
        <m:r>
          <m:t>R</m:t>
        </m:r>
      </m:oMath>
      <w:r>
        <w:t>.</w:t>
      </w:r>
    </w:p>
    <w:p>
      <w:r>
        <w:t xml:space="preserve">Because the reconstruction is algebraic, the improvement costs nothing at inference: the additional square root and division are negligible compared with the network evaluation, and they do not introduce tunable penalties. The identity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
          <m:t>ρ</m:t>
        </m:r>
      </m:oMath>
      <w:r>
        <w:t xml:space="preserve"> holds to machine precision, which means the downstream current post-processing receives a physically consistent charge field by construction.</w:t>
      </w:r>
    </w:p>
    <w:p>
      <w:pPr>
        <w:pStyle w:val="Heading3"/>
      </w:pPr>
      <w:r>
        <w:t>3.7 Timing, amortization, and break-even</w:t>
      </w:r>
    </w:p>
    <w:p>
      <w:r>
        <w:t>Supplementary Table S8 and Figure 6 summarize latency and amortization. On an Apple M1 CPU, the DeepONet exports to ONNX at 0.07165 ms per state, 18.7-fold faster than its PyTorch batch-1 latency of 1.342 ms; the FNO exports at 1.038 ms, 8.19-fold faster than 8.5 ms. At batch 48, the ONNX latencies are 0.7095 ms and 26.86 ms, and the shared current post-processing adds 3.788 ms. Figure 6A presents these batch-1 and batch-48 latencies for both backbones in PyTorch and ONNX on a common axis, and shows that the DeepONet retains a roughly an order-of-magnitude latency advantage at both batch sizes.</w:t>
      </w:r>
    </w:p>
    <w:p>
      <w:r>
        <w:t>The break-even count is the number of parameter states at which the one-time cost of dataset generation and training equals the cost of solving those states with SG/FV. Using the dataset-mean SG/FV time of 0.2391 s, the DeepONet breaks even at 459.2 states and the FNO at 704.6 states. Using the median time of 0.2013 s, the counts are 545.5 and 837.5. On the slower prior Xeon timing of 0.44 s per solve, the counts fall to 249.5 and 382.1. Against per-state DA-PINN retraining at 500 s per state, the break-even is 0.2195 states for the DeepONet and 0.3355 states for the FNO: a single query already amortizes the operator. Figure 6B shows these cumulative-cost curves, plotting the operator cost and the SG/FV cost against the number of forward states and marking the break-even counts; the prior-Xeon and DA-PINN-retrain references are drawn for context.</w:t>
      </w:r>
    </w:p>
    <w:p>
      <w:pPr>
        <w:spacing w:before="120" w:after="40"/>
        <w:jc w:val="center"/>
      </w:pPr>
      <w:r>
        <w:drawing>
          <wp:inline xmlns:a="http://schemas.openxmlformats.org/drawingml/2006/main" xmlns:pic="http://schemas.openxmlformats.org/drawingml/2006/picture">
            <wp:extent cx="5852160" cy="3959402"/>
            <wp:docPr id="6" name="Picture 6"/>
            <wp:cNvGraphicFramePr>
              <a:graphicFrameLocks noChangeAspect="1"/>
            </wp:cNvGraphicFramePr>
            <a:graphic>
              <a:graphicData uri="http://schemas.openxmlformats.org/drawingml/2006/picture">
                <pic:pic>
                  <pic:nvPicPr>
                    <pic:cNvPr id="0" name="fig6_h4_timing_and_amortization_breakeven.png"/>
                    <pic:cNvPicPr/>
                  </pic:nvPicPr>
                  <pic:blipFill>
                    <a:blip r:embed="rId14"/>
                    <a:stretch>
                      <a:fillRect/>
                    </a:stretch>
                  </pic:blipFill>
                  <pic:spPr>
                    <a:xfrm>
                      <a:off x="0" y="0"/>
                      <a:ext cx="5852160" cy="3959402"/>
                    </a:xfrm>
                    <a:prstGeom prst="rect"/>
                  </pic:spPr>
                </pic:pic>
              </a:graphicData>
            </a:graphic>
          </wp:inline>
        </w:drawing>
      </w:r>
    </w:p>
    <w:p>
      <w:pPr>
        <w:spacing w:after="200"/>
      </w:pPr>
      <w:r>
        <w:rPr>
          <w:b/>
          <w:sz w:val="18"/>
        </w:rPr>
        <w:t>Figure 6.</w:t>
      </w:r>
      <w:r>
        <w:rPr>
          <w:sz w:val="18"/>
        </w:rPr>
        <w:t xml:space="preserve"> Latency, amortization, and exact-versus-operator Fisher validation. (A) Batch-1 and batch-48 prediction latency for the DeepONet and FNO in PyTorch and ONNX on an Apple M1 CPU, including the shared current post-processing at batch 48. (B) Cumulative cost versus number of forward states for the operator and for SG/FV solves at the dataset-mean and median solve times, with the break-even counts marked; the prior-Xeon and DA-PINN-retrain reference lines are included for context. (C) Exact SG/FV finite-difference sensitivities against the neural-operator sensitivities for 15 held-out states: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rPr>
          <w:sz w:val="18"/>
        </w:rPr>
        <w:t xml:space="preserve"> (circles) and the absolute charge sensitivity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oMath>
      <w:r>
        <w:rPr>
          <w:sz w:val="18"/>
        </w:rPr>
        <w:t xml:space="preserve"> (squares); the dashed line is the identity. (D) Median Fisher condition number </w:t>
      </w:r>
      <m:oMath xmlns:a="http://schemas.openxmlformats.org/drawingml/2006/main" xmlns:pic="http://schemas.openxmlformats.org/drawingml/2006/picture">
        <m:r>
          <m:t>κ</m:t>
        </m:r>
        <m:r>
          <m:rPr>
            <m:sty m:val="p"/>
          </m:rPr>
          <m:t>(</m:t>
        </m:r>
        <m:r>
          <m:rPr>
            <m:scr m:val="script"/>
            <m:sty m:val="p"/>
          </m:rPr>
          <m:t>F</m:t>
        </m:r>
        <m:r>
          <m:rPr>
            <m:sty m:val="p"/>
          </m:rPr>
          <m:t>)</m:t>
        </m:r>
      </m:oMath>
      <w:r>
        <w:rPr>
          <w:sz w:val="18"/>
        </w:rPr>
        <w:t xml:space="preserve"> for the single-salt, multi-salt, and dual protocols, comparing the exact SG/FV Jacobian with the operator; both collapse by ten orders of magnitude once the near-wall selectivity observable is added.</w:t>
      </w:r>
    </w:p>
    <w:p>
      <w:r>
        <w:t>These counts are conservative in one respect and optimistic in another. They charge the full dataset-generation and training cost to the operator, but they do not charge the engineering time of building the surrogate; conversely, they assume that the SG/FV baseline is run serially, whereas it could be parallelized across cores. The break-even count is only about 1.9 times the 240-state training set, so the operator is most advantageous for sweeps of thousands of states rather than for a few hundred queries. The qualitative conclusion remains robust: for the thousands of queries typical of a design sweep, the operator is two to three orders of magnitude cheaper per query.</w:t>
      </w:r>
    </w:p>
    <w:p>
      <w:pPr>
        <w:pStyle w:val="Heading3"/>
      </w:pPr>
      <w:r>
        <w:t>3.8 Physics loss and data-only ablation</w:t>
      </w:r>
    </w:p>
    <w:p>
      <w:r>
        <w:t xml:space="preserve">Removing the physics term degrades the current more than the fields. For the DeepONet, the interp-test current error rises from 0.001093 to 0.001687 (35.2% higher), while the potential error changes only from 0.0008914 to 0.000928 (3.95% higher). For the FNO, the interp-test current error rises from 0.008511 to 0.01393 (38.9% higher), and the OOD current error rises from 0.009123 to 0.01815 (49.7% higher). The OOD potential error of the FNO also rises from 0.02079 to 0.03013 (31.0% higher). Figure 3C summarizes this ablation through the near-wall derivative residual </w:t>
      </w:r>
      <m:oMath xmlns:a="http://schemas.openxmlformats.org/drawingml/2006/main" xmlns:pic="http://schemas.openxmlformats.org/drawingml/2006/picture">
        <m:r>
          <m:rPr>
            <m:sty m:val="p"/>
          </m:rPr>
          <m:t>|</m:t>
        </m:r>
        <m:sSub>
          <m:e>
            <m:r>
              <m:rPr>
                <m:sty m:val="p"/>
              </m:rPr>
              <m:t>∂</m:t>
            </m:r>
          </m:e>
          <m:sub>
            <m:r>
              <m:t>r</m:t>
            </m:r>
          </m:sub>
        </m:sSub>
        <m:r>
          <m:t>ψ</m:t>
        </m:r>
        <m:sSub>
          <m:e>
            <m:r>
              <m:rPr>
                <m:sty m:val="p"/>
              </m:rPr>
              <m:t>|</m:t>
            </m:r>
          </m:e>
          <m:sub>
            <m:r>
              <m:t>r</m:t>
            </m:r>
            <m:r>
              <m:rPr>
                <m:sty m:val="p"/>
              </m:rPr>
              <m:t>=</m:t>
            </m:r>
            <m:r>
              <m:t>1</m:t>
            </m:r>
          </m:sub>
        </m:sSub>
        <m:r>
          <m:rPr>
            <m:sty m:val="p"/>
          </m:rPr>
          <m:t>−</m:t>
        </m:r>
        <m:sSub>
          <m:e>
            <m:r>
              <m:t>q</m:t>
            </m:r>
          </m:e>
          <m:sub>
            <m:r>
              <m:t>w</m:t>
            </m:r>
          </m:sub>
        </m:sSub>
        <m:r>
          <m:rPr>
            <m:sty m:val="p"/>
          </m:rPr>
          <m:t>|</m:t>
        </m:r>
      </m:oMath>
      <w:r>
        <w:t xml:space="preserve"> and the interior Poisson residual on the interpolation split, where the data-only bars are the ones that move most.</w:t>
      </w:r>
    </w:p>
    <w:p>
      <w:r>
        <w:t>The interpretation is that the physics residual constrains the flux balance, which the current integral senses even when the pointwise fields are visually similar. The data-only DeepONet is competitive for in-distribution potential and cation concentration, but its current error is 54.3% higher, and its OOD current error is 30.5% higher. The physics term is therefore not cosmetic; it is the main driver of current accuracy in the sparse-data regime.</w:t>
      </w:r>
    </w:p>
    <w:p>
      <w:pPr>
        <w:pStyle w:val="Heading3"/>
      </w:pPr>
      <w:r>
        <w:t>3.9 Inverse parameter recovery</w:t>
      </w:r>
    </w:p>
    <w:p>
      <w:r>
        <w:t>The inverse demonstration asks what can be inferred from a noisy current–voltage curve alone. For five held-out states, the operator recovers the pore radius with a median relative error of 0.004574 (0.46%). The radius is identifiable because the current scales approximately with the pore cross-section and the five-bias slope fixes the conductance scale.</w:t>
      </w:r>
    </w:p>
    <w:p>
      <w:r>
        <w:t xml:space="preserve">Surface charge is not identifiable at the same noise level. Across the full charge prior, the median state-level change in the predicted current at the recovered radius is 0.0009625 (0.096%), and the largest state-level change is 0.0019 (0.19%); both are below the 1% measurement noise. The objective is therefore flat in </w:t>
      </w:r>
      <m:oMath xmlns:a="http://schemas.openxmlformats.org/drawingml/2006/main" xmlns:pic="http://schemas.openxmlformats.org/drawingml/2006/picture">
        <m:sSub>
          <m:e>
            <m:r>
              <m:t>q</m:t>
            </m:r>
          </m:e>
          <m:sub>
            <m:r>
              <m:t>w</m:t>
            </m:r>
          </m:sub>
        </m:sSub>
      </m:oMath>
      <w:r>
        <w:t xml:space="preserve">: the recovered charge can move anywhere in the prior without a detectable change in the residual. The median relative error in </w:t>
      </w:r>
      <m:oMath xmlns:a="http://schemas.openxmlformats.org/drawingml/2006/main" xmlns:pic="http://schemas.openxmlformats.org/drawingml/2006/picture">
        <m:sSub>
          <m:e>
            <m:r>
              <m:t>q</m:t>
            </m:r>
          </m:e>
          <m:sub>
            <m:r>
              <m:t>w</m:t>
            </m:r>
          </m:sub>
        </m:sSub>
      </m:oMath>
      <w:r>
        <w:t xml:space="preserve"> is 1.154, and the median relative error in the derived surface charge density is 1.146. Relative error is misleading for the near-zero charge state: state 175 has a true </w:t>
      </w:r>
      <m:oMath xmlns:a="http://schemas.openxmlformats.org/drawingml/2006/main" xmlns:pic="http://schemas.openxmlformats.org/drawingml/2006/picture">
        <m:sSub>
          <m:e>
            <m:r>
              <m:t>q</m:t>
            </m:r>
          </m:e>
          <m:sub>
            <m:r>
              <m:t>w</m:t>
            </m:r>
          </m:sub>
        </m:sSub>
        <m:r>
          <m:rPr>
            <m:sty m:val="p"/>
          </m:rPr>
          <m:t>=</m:t>
        </m:r>
        <m:r>
          <m:rPr>
            <m:sty m:val="p"/>
          </m:rPr>
          <m:t>−</m:t>
        </m:r>
        <m:r>
          <m:t>0.00206</m:t>
        </m:r>
      </m:oMath>
      <w:r>
        <w:t xml:space="preserve">, so a small absolute error of 0.0961 produces a relative error of 46.7. The median absolute error in </w:t>
      </w:r>
      <m:oMath xmlns:a="http://schemas.openxmlformats.org/drawingml/2006/main" xmlns:pic="http://schemas.openxmlformats.org/drawingml/2006/picture">
        <m:sSub>
          <m:e>
            <m:r>
              <m:t>q</m:t>
            </m:r>
          </m:e>
          <m:sub>
            <m:r>
              <m:t>w</m:t>
            </m:r>
          </m:sub>
        </m:sSub>
      </m:oMath>
      <w:r>
        <w:t xml:space="preserve"> is 0.0526 (about half the prior width), and the median absolute error in </w:t>
      </w:r>
      <m:oMath xmlns:a="http://schemas.openxmlformats.org/drawingml/2006/main" xmlns:pic="http://schemas.openxmlformats.org/drawingml/2006/picture">
        <m:r>
          <m:t>R</m:t>
        </m:r>
      </m:oMath>
      <w:r>
        <w:t xml:space="preserve"> is 0.0181 nm. Supplementary Table S10 reports both relative errors and the per-state values. The flat direction is not a failure of the operator; it is a property of the measurement. For a symmetric electrolyte with nearly equal ionic diffusivities, the leading conductance is set by the total ionic strength, and over the accessible charge range the Donnan polarization induced by the wall changes that conductance by less than 0.2%. The total conductance is therefore nearly independent of fixed wall charge at the 1% noise level. Recovering </w:t>
      </w:r>
      <m:oMath xmlns:a="http://schemas.openxmlformats.org/drawingml/2006/main" xmlns:pic="http://schemas.openxmlformats.org/drawingml/2006/picture">
        <m:sSub>
          <m:e>
            <m:r>
              <m:t>q</m:t>
            </m:r>
          </m:e>
          <m:sub>
            <m:r>
              <m:t>w</m:t>
            </m:r>
          </m:sub>
        </m:sSub>
      </m:oMath>
      <w:r>
        <w:t xml:space="preserve"> requires a charge-sensitive observable, such as the streaming potential, the radial potential profile, or a multi-salt nonlinear response, rather than conductance alone.</w:t>
      </w:r>
    </w:p>
    <w:p>
      <w:r>
        <w:t xml:space="preserve">The multi-protocol experiment confirms this interpretation and shows how to break the degeneracy (Supplementary Table S15). Over 15 held-out states, single-salt current–voltage inversion leaves the median </w:t>
      </w:r>
      <m:oMath xmlns:a="http://schemas.openxmlformats.org/drawingml/2006/main" xmlns:pic="http://schemas.openxmlformats.org/drawingml/2006/picture">
        <m:sSub>
          <m:e>
            <m:r>
              <m:t>q</m:t>
            </m:r>
          </m:e>
          <m:sub>
            <m:r>
              <m:t>w</m:t>
            </m:r>
          </m:sub>
        </m:sSub>
      </m:oMath>
      <w:r>
        <w:t xml:space="preserve"> error at 0.77–1.00 for all three noise levels, and the multi-salt protocol improves the charge sensitivity roughly tenfold at low salinity (relative spread of </w:t>
      </w:r>
      <m:oMath xmlns:a="http://schemas.openxmlformats.org/drawingml/2006/main" xmlns:pic="http://schemas.openxmlformats.org/drawingml/2006/picture">
        <m:r>
          <m:rPr>
            <m:sty m:val="p"/>
          </m:rPr>
          <m:t>|</m:t>
        </m:r>
        <m:r>
          <m:t>I</m:t>
        </m:r>
        <m:r>
          <m:rPr>
            <m:sty m:val="p"/>
          </m:rPr>
          <m:t>|</m:t>
        </m:r>
      </m:oMath>
      <w:r>
        <w:t xml:space="preserve"> over the charge prior: </w:t>
      </w:r>
      <m:oMath xmlns:a="http://schemas.openxmlformats.org/drawingml/2006/main" xmlns:pic="http://schemas.openxmlformats.org/drawingml/2006/picture">
        <m:r>
          <m:t>1.3</m:t>
        </m:r>
        <m:r>
          <m:rPr>
            <m:sty m:val="p"/>
          </m:rPr>
          <m:t>×</m:t>
        </m:r>
        <m:sSup>
          <m:e>
            <m:r>
              <m:t>10</m:t>
            </m:r>
          </m:e>
          <m:sup>
            <m:r>
              <m:rPr>
                <m:sty m:val="p"/>
              </m:rPr>
              <m:t>−</m:t>
            </m:r>
            <m:r>
              <m:t>3</m:t>
            </m:r>
          </m:sup>
        </m:sSup>
      </m:oMath>
      <w:r>
        <w:t xml:space="preserve"> at </w:t>
      </w:r>
      <m:oMath xmlns:a="http://schemas.openxmlformats.org/drawingml/2006/main" xmlns:pic="http://schemas.openxmlformats.org/drawingml/2006/picture">
        <m:sSub>
          <m:e>
            <m:r>
              <m:t>C</m:t>
            </m:r>
          </m:e>
          <m:sub>
            <m:r>
              <m:t>0</m:t>
            </m:r>
          </m:sub>
        </m:sSub>
        <m:r>
          <m:rPr>
            <m:sty m:val="p"/>
          </m:rPr>
          <m:t>=</m:t>
        </m:r>
        <m:r>
          <m:t>10</m:t>
        </m:r>
      </m:oMath>
      <w:r>
        <w:t xml:space="preserve"> mol </w:t>
      </w:r>
      <m:oMath xmlns:a="http://schemas.openxmlformats.org/drawingml/2006/main" xmlns:pic="http://schemas.openxmlformats.org/drawingml/2006/picture">
        <m:sSup>
          <m:e>
            <m:r>
              <m:t>m</m:t>
            </m:r>
          </m:e>
          <m:sup>
            <m:r>
              <m:rPr>
                <m:sty m:val="p"/>
              </m:rPr>
              <m:t>−</m:t>
            </m:r>
            <m:r>
              <m:t>3</m:t>
            </m:r>
          </m:sup>
        </m:sSup>
      </m:oMath>
      <w:r>
        <w:t xml:space="preserve"> versus </w:t>
      </w:r>
      <m:oMath xmlns:a="http://schemas.openxmlformats.org/drawingml/2006/main" xmlns:pic="http://schemas.openxmlformats.org/drawingml/2006/picture">
        <m:r>
          <m:t>1.5</m:t>
        </m:r>
        <m:r>
          <m:rPr>
            <m:sty m:val="p"/>
          </m:rPr>
          <m:t>×</m:t>
        </m:r>
        <m:sSup>
          <m:e>
            <m:r>
              <m:t>10</m:t>
            </m:r>
          </m:e>
          <m:sup>
            <m:r>
              <m:rPr>
                <m:sty m:val="p"/>
              </m:rPr>
              <m:t>−</m:t>
            </m:r>
            <m:r>
              <m:t>4</m:t>
            </m:r>
          </m:sup>
        </m:sSup>
      </m:oMath>
      <w:r>
        <w:t xml:space="preserve"> at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but still leaves the median </w:t>
      </w:r>
      <m:oMath xmlns:a="http://schemas.openxmlformats.org/drawingml/2006/main" xmlns:pic="http://schemas.openxmlformats.org/drawingml/2006/picture">
        <m:sSub>
          <m:e>
            <m:r>
              <m:t>q</m:t>
            </m:r>
          </m:e>
          <m:sub>
            <m:r>
              <m:t>w</m:t>
            </m:r>
          </m:sub>
        </m:sSub>
      </m:oMath>
      <w:r>
        <w:t xml:space="preserve"> error at 0.82–1.00, because the gain stays below the noise floor. Both protocols recover radius to better than 0.7%. Adding the near-wall selectivity observable changes the outcome: the dual protocol recovers </w:t>
      </w:r>
      <m:oMath xmlns:a="http://schemas.openxmlformats.org/drawingml/2006/main" xmlns:pic="http://schemas.openxmlformats.org/drawingml/2006/picture">
        <m:sSub>
          <m:e>
            <m:r>
              <m:t>q</m:t>
            </m:r>
          </m:e>
          <m:sub>
            <m:r>
              <m:t>w</m:t>
            </m:r>
          </m:sub>
        </m:sSub>
      </m:oMath>
      <w:r>
        <w:t xml:space="preserve"> with a median relative error of 0.0005–0.0028 and </w:t>
      </w:r>
      <m:oMath xmlns:a="http://schemas.openxmlformats.org/drawingml/2006/main" xmlns:pic="http://schemas.openxmlformats.org/drawingml/2006/picture">
        <m:r>
          <m:t>R</m:t>
        </m:r>
      </m:oMath>
      <w:r>
        <w:t xml:space="preserve"> with a median relative error of 0.0003–0.0018 across the same noise levels, i.e., both parameters to below 0.3%. The selectivity observable carries the charge information that the total conductance lacks, which is consistent with the Fisher analysis of Figure 3F: the charge axis is the near-null direction of the conductance-only Fisher matrix at every operating point.</w:t>
      </w:r>
    </w:p>
    <w:p>
      <w:r>
        <w:t xml:space="preserve">The exact SG/FV finite-difference validation closes the loop on the surrogate's sensitivity (Figure 6C–D, Supplementary Table S18). Over 15 held-out states we computed the centered finite-difference Jacobian of the float64 Scharfetter–Gummel solver at relative step </w:t>
      </w:r>
      <m:oMath xmlns:a="http://schemas.openxmlformats.org/drawingml/2006/main" xmlns:pic="http://schemas.openxmlformats.org/drawingml/2006/picture">
        <m:sSup>
          <m:e>
            <m:r>
              <m:t>10</m:t>
            </m:r>
          </m:e>
          <m:sup>
            <m:r>
              <m:rPr>
                <m:sty m:val="p"/>
              </m:rPr>
              <m:t>−</m:t>
            </m:r>
            <m:r>
              <m:t>3</m:t>
            </m:r>
          </m:sup>
        </m:sSup>
      </m:oMath>
      <w:r>
        <w:t xml:space="preserve"> and compared it with the operator Jacobian at the same 15 states and three measurement protocols. The two agree on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xml:space="preserve"> to a median relative difference of </w:t>
      </w:r>
      <m:oMath xmlns:a="http://schemas.openxmlformats.org/drawingml/2006/main" xmlns:pic="http://schemas.openxmlformats.org/drawingml/2006/picture">
        <m:r>
          <m:t>1.5</m:t>
        </m:r>
        <m:r>
          <m:rPr>
            <m:sty m:val="p"/>
          </m:rPr>
          <m:t>×</m:t>
        </m:r>
        <m:sSup>
          <m:e>
            <m:r>
              <m:t>10</m:t>
            </m:r>
          </m:e>
          <m:sup>
            <m:r>
              <m:rPr>
                <m:sty m:val="p"/>
              </m:rPr>
              <m:t>−</m:t>
            </m:r>
            <m:r>
              <m:t>4</m:t>
            </m:r>
          </m:sup>
        </m:sSup>
      </m:oMath>
      <w:r>
        <w:t xml:space="preserve"> (both 2.000), confirming that the operator captures the area scaling exactly. The absolute charge sensitivity is small in both (median </w:t>
      </w:r>
      <m:oMath xmlns:a="http://schemas.openxmlformats.org/drawingml/2006/main" xmlns:pic="http://schemas.openxmlformats.org/drawingml/2006/picture">
        <m:r>
          <m:t>2.1</m:t>
        </m:r>
        <m:r>
          <m:rPr>
            <m:sty m:val="p"/>
          </m:rPr>
          <m:t>×</m:t>
        </m:r>
        <m:sSup>
          <m:e>
            <m:r>
              <m:t>10</m:t>
            </m:r>
          </m:e>
          <m:sup>
            <m:r>
              <m:rPr>
                <m:sty m:val="p"/>
              </m:rPr>
              <m:t>−</m:t>
            </m:r>
            <m:r>
              <m:t>5</m:t>
            </m:r>
          </m:sup>
        </m:sSup>
      </m:oMath>
      <w:r>
        <w:t xml:space="preserve"> for the exact solver versus </w:t>
      </w:r>
      <m:oMath xmlns:a="http://schemas.openxmlformats.org/drawingml/2006/main" xmlns:pic="http://schemas.openxmlformats.org/drawingml/2006/picture">
        <m:r>
          <m:t>1.2</m:t>
        </m:r>
        <m:r>
          <m:rPr>
            <m:sty m:val="p"/>
          </m:rPr>
          <m:t>×</m:t>
        </m:r>
        <m:sSup>
          <m:e>
            <m:r>
              <m:t>10</m:t>
            </m:r>
          </m:e>
          <m:sup>
            <m:r>
              <m:rPr>
                <m:sty m:val="p"/>
              </m:rPr>
              <m:t>−</m:t>
            </m:r>
            <m:r>
              <m:t>4</m:t>
            </m:r>
          </m:sup>
        </m:sSup>
      </m:oMath>
      <w:r>
        <w:t xml:space="preserve"> for the operator); the operator modestly overestimates it, which is conservative for identifiability. The conditioning collapses in the same way for both: the exact median </w:t>
      </w:r>
      <m:oMath xmlns:a="http://schemas.openxmlformats.org/drawingml/2006/main" xmlns:pic="http://schemas.openxmlformats.org/drawingml/2006/picture">
        <m:r>
          <m:t>κ</m:t>
        </m:r>
        <m:r>
          <m:rPr>
            <m:sty m:val="p"/>
          </m:rPr>
          <m:t>(</m:t>
        </m:r>
        <m:r>
          <m:rPr>
            <m:scr m:val="script"/>
            <m:sty m:val="p"/>
          </m:rPr>
          <m:t>F</m:t>
        </m:r>
        <m:r>
          <m:rPr>
            <m:sty m:val="p"/>
          </m:rPr>
          <m:t>)</m:t>
        </m:r>
      </m:oMath>
      <w:r>
        <w:t xml:space="preserve"> falls from </w:t>
      </w:r>
      <m:oMath xmlns:a="http://schemas.openxmlformats.org/drawingml/2006/main" xmlns:pic="http://schemas.openxmlformats.org/drawingml/2006/picture">
        <m:r>
          <m:t>4.9</m:t>
        </m:r>
        <m:r>
          <m:rPr>
            <m:sty m:val="p"/>
          </m:rPr>
          <m:t>×</m:t>
        </m:r>
        <m:sSup>
          <m:e>
            <m:r>
              <m:t>10</m:t>
            </m:r>
          </m:e>
          <m:sup>
            <m:r>
              <m:t>15</m:t>
            </m:r>
          </m:sup>
        </m:sSup>
      </m:oMath>
      <w:r>
        <w:t xml:space="preserve"> for the single-salt protocol to </w:t>
      </w:r>
      <m:oMath xmlns:a="http://schemas.openxmlformats.org/drawingml/2006/main" xmlns:pic="http://schemas.openxmlformats.org/drawingml/2006/picture">
        <m:r>
          <m:t>8.7</m:t>
        </m:r>
        <m:r>
          <m:rPr>
            <m:sty m:val="p"/>
          </m:rPr>
          <m:t>×</m:t>
        </m:r>
        <m:sSup>
          <m:e>
            <m:r>
              <m:t>10</m:t>
            </m:r>
          </m:e>
          <m:sup>
            <m:r>
              <m:t>9</m:t>
            </m:r>
          </m:sup>
        </m:sSup>
      </m:oMath>
      <w:r>
        <w:t xml:space="preserve"> for the multi-salt protocol and </w:t>
      </w:r>
      <m:oMath xmlns:a="http://schemas.openxmlformats.org/drawingml/2006/main" xmlns:pic="http://schemas.openxmlformats.org/drawingml/2006/picture">
        <m:r>
          <m:t>1.8</m:t>
        </m:r>
        <m:r>
          <m:rPr>
            <m:sty m:val="p"/>
          </m:rPr>
          <m:t>×</m:t>
        </m:r>
        <m:sSup>
          <m:e>
            <m:r>
              <m:t>10</m:t>
            </m:r>
          </m:e>
          <m:sup>
            <m:r>
              <m:t>5</m:t>
            </m:r>
          </m:sup>
        </m:sSup>
      </m:oMath>
      <w:r>
        <w:t xml:space="preserve"> for the dual protocol, and the operator reproduces the dual value to within 1% (</w:t>
      </w:r>
      <m:oMath xmlns:a="http://schemas.openxmlformats.org/drawingml/2006/main" xmlns:pic="http://schemas.openxmlformats.org/drawingml/2006/picture">
        <m:r>
          <m:t>1.76</m:t>
        </m:r>
        <m:r>
          <m:rPr>
            <m:sty m:val="p"/>
          </m:rPr>
          <m:t>×</m:t>
        </m:r>
        <m:sSup>
          <m:e>
            <m:r>
              <m:t>10</m:t>
            </m:r>
          </m:e>
          <m:sup>
            <m:r>
              <m:t>5</m:t>
            </m:r>
          </m:sup>
        </m:sSup>
      </m:oMath>
      <w:r>
        <w:t xml:space="preserve">). The operator underestimates the single-salt conditioning because its charge sensitivity is larger than the exact value, but both analyses agree that single-salt conditioning exceeds </w:t>
      </w:r>
      <m:oMath xmlns:a="http://schemas.openxmlformats.org/drawingml/2006/main" xmlns:pic="http://schemas.openxmlformats.org/drawingml/2006/picture">
        <m:sSup>
          <m:e>
            <m:r>
              <m:t>10</m:t>
            </m:r>
          </m:e>
          <m:sup>
            <m:r>
              <m:t>8</m:t>
            </m:r>
          </m:sup>
        </m:sSup>
      </m:oMath>
      <w:r>
        <w:t xml:space="preserve"> and that the dual observable collapses it by ten orders of magnitude.</w:t>
      </w:r>
    </w:p>
    <w:p>
      <w:r>
        <w:t>The timing makes the amortization concrete. Each inverse problem evaluates 2000 forward states (400 candidates at five biases); the operator does so in 0.1253 s, whereas the same number of SG/FV solves would take 402.6 s, an approximately 3200-fold speed-up. Supplementary Table S10 reports the per-state results. The same arithmetic as Figure 6B then applies: 2000 forward evaluations cost 0.125 s with the operator and 402.6 s with SG/FV, so a single five-state inversion already sits far past the forward break-even point.</w:t>
      </w:r>
    </w:p>
    <w:p>
      <w:pPr>
        <w:pStyle w:val="Heading3"/>
      </w:pPr>
      <w:r>
        <w:t>3.10 Interactive deployment</w:t>
      </w:r>
    </w:p>
    <w:p>
      <w:r>
        <w:t xml:space="preserve">The exported models run without a Python server: a single ONNX graph serves a static browser simulator (with an optional in-browser SG/FV solve) and a Gradio application, so the same network can be used in teaching and in experimental design without installing a solver. The JavaScript current formula agrees with the SG/FV reference to a maximum relative difference of </w:t>
      </w:r>
      <m:oMath xmlns:a="http://schemas.openxmlformats.org/drawingml/2006/main" xmlns:pic="http://schemas.openxmlformats.org/drawingml/2006/picture">
        <m:r>
          <m:t>5.686</m:t>
        </m:r>
        <m:r>
          <m:rPr>
            <m:sty m:val="p"/>
          </m:rPr>
          <m:t>×</m:t>
        </m:r>
        <m:sSup>
          <m:e>
            <m:r>
              <m:t>10</m:t>
            </m:r>
          </m:e>
          <m:sup>
            <m:r>
              <m:rPr>
                <m:sty m:val="p"/>
              </m:rPr>
              <m:t>−</m:t>
            </m:r>
            <m:r>
              <m:t>7</m:t>
            </m:r>
          </m:sup>
        </m:sSup>
      </m:oMath>
      <w:r>
        <w:t xml:space="preserve"> over the eight verification states, the DOM test harness passes 29 of 29 checks, and the Gradio comparison against a live solve reports a potential relative </w:t>
      </w:r>
      <m:oMath xmlns:a="http://schemas.openxmlformats.org/drawingml/2006/main" xmlns:pic="http://schemas.openxmlformats.org/drawingml/2006/picture">
        <m:sSub>
          <m:e>
            <m:r>
              <m:t>L</m:t>
            </m:r>
          </m:e>
          <m:sub>
            <m:r>
              <m:t>2</m:t>
            </m:r>
          </m:sub>
        </m:sSub>
      </m:oMath>
      <w:r>
        <w:t xml:space="preserve"> difference of 0.0002126. The dual-engine design keeps the reference solver available for validation rather than replacing it. Interface details, bundle sizes, and the full deployment and parity record are collected in Supplementary Section S8 and Supplementary Table S13.</w:t>
      </w:r>
    </w:p>
    <w:p>
      <w:pPr>
        <w:pStyle w:val="Heading2"/>
      </w:pPr>
      <w:r>
        <w:t>4. Discussion</w:t>
      </w:r>
    </w:p>
    <w:p>
      <w:r>
        <w:t>The results support a simple division of labor. The DeepONet is the better default surrogate: it is 6.16-fold more accurate for potential and 7.79-fold more accurate for current than the FNO in-distribution, with 12.5-fold fewer parameters and 14.5-fold lower ONNX latency. The FNO is not redundant, however. Its spectral basis captures the cation and net-charge fields better in the out-of-distribution split (1.43-fold and 1.64-fold, respectively), and its errors grow more gracefully when the Debye ratio leaves the training band. A practical strategy is to use the DeepONet for current-based design and the FNO as a cross-check or as a backbone when field-level OOD accuracy is the priority.</w:t>
      </w:r>
    </w:p>
    <w:p>
      <w:r>
        <w:t>The charge-balanced parameterization is the most transferable result. The improvement is large (8.63-fold for DeepONet and 10.29-fold for FNO), it costs nothing at inference, and it is architecture-agnostic. The underlying mechanism is general: whenever a physical quantity is a small difference of two large positive fields, direct regression suffers from cancellation, and a reparameterization in terms of the sum and the difference removes the ill-conditioning. The same idea should apply to other Nernst–Planck and drift–diffusion systems in which charge or mole fractions are inferred from separate species predictions.</w:t>
      </w:r>
    </w:p>
    <w:p>
      <w:r>
        <w:t>The physics loss plays a complementary role. It does not dramatically improve the pointwise potential in-distribution, but it reduces current error by 35.2% for the DeepONet and 49.7% for the FNO out of distribution. Because current is the quantity that experiments measure, this is the relevant metric, and it justifies retaining the residual term even when labeled data are available.</w:t>
      </w:r>
    </w:p>
    <w:p>
      <w:r>
        <w:t xml:space="preserve">The inverse experiment sharpens the scope of the method. Radius is identifiable from a five-bias current–voltage curve to 0.46%, and the operator makes the inversion cheap (0.1253 s per curve versus 402.6 s of SG/FV work). Surface charge is not identifiable under the same protocol: the median state-level current change is 0.096% across the full charge prior (largest state-level change 0.19%), both below the 1% noise. This is a physical identifiability limit, not a surrogate error. It follows from the near-invariance of the concentration sum for a symmetric electrolyte with nearly equal diffusivities, and the Fisher analysis shows it holds at every operating point, with a near-null charge direction and condition numbers above </w:t>
      </w:r>
      <m:oMath xmlns:a="http://schemas.openxmlformats.org/drawingml/2006/main" xmlns:pic="http://schemas.openxmlformats.org/drawingml/2006/picture">
        <m:sSup>
          <m:e>
            <m:r>
              <m:t>10</m:t>
            </m:r>
          </m:e>
          <m:sup>
            <m:r>
              <m:t>8</m:t>
            </m:r>
          </m:sup>
        </m:sSup>
      </m:oMath>
      <w:r>
        <w:t>. The multi-protocol study sharpens the remedy: multi-salt current–voltage data increase the charge sensitivity by roughly an order of magnitude at low salinity but remain below the noise floor, and it is the independent near-wall selectivity observable that recovers wall charge to below 0.3%. Closing the gap in a real experiment therefore requires a genuinely charge-sensitive measurement, such as streaming potential, field-resolved sensing, or a near-wall selectivity readout, rather than more current–voltage data at different salinities. The operator is well suited to such protocols because it can evaluate thousands of candidate parameter combinations per second.</w:t>
      </w:r>
    </w:p>
    <w:p>
      <w:r>
        <w:t xml:space="preserve">The selectivity observable that breaks the degeneracy is not a purely theoretical construct. In a symmetric binary electrolyte the near-wall selectivity is, to leading order, the transference-number imbalance </w:t>
      </w:r>
      <m:oMath xmlns:a="http://schemas.openxmlformats.org/drawingml/2006/main" xmlns:pic="http://schemas.openxmlformats.org/drawingml/2006/picture">
        <m:r>
          <m:t>S</m:t>
        </m:r>
        <m:r>
          <m:rPr>
            <m:sty m:val="p"/>
          </m:rPr>
          <m:t>≃</m:t>
        </m:r>
        <m:r>
          <m:t>2</m:t>
        </m:r>
        <m:sSub>
          <m:e>
            <m:r>
              <m:t>t</m:t>
            </m:r>
          </m:e>
          <m:sub>
            <m:r>
              <m:rPr>
                <m:sty m:val="p"/>
              </m:rPr>
              <m:t>+</m:t>
            </m:r>
          </m:sub>
        </m:sSub>
        <m:r>
          <m:rPr>
            <m:sty m:val="p"/>
          </m:rPr>
          <m:t>−</m:t>
        </m:r>
        <m:r>
          <m:t>1</m:t>
        </m:r>
      </m:oMath>
      <w:r>
        <w:t xml:space="preserve">, so a concentration-cell reversal potential </w:t>
      </w:r>
      <m:oMath xmlns:a="http://schemas.openxmlformats.org/drawingml/2006/main" xmlns:pic="http://schemas.openxmlformats.org/drawingml/2006/picture">
        <m:sSub>
          <m:e>
            <m:r>
              <m:t>V</m:t>
            </m:r>
          </m:e>
          <m:sub>
            <m:r>
              <m:rPr>
                <m:sty m:val="p"/>
              </m:rPr>
              <m:t>r</m:t>
            </m:r>
            <m:r>
              <m:rPr>
                <m:sty m:val="p"/>
              </m:rPr>
              <m:t>e</m:t>
            </m:r>
            <m:r>
              <m:rPr>
                <m:sty m:val="p"/>
              </m:rPr>
              <m:t>v</m:t>
            </m:r>
          </m:sub>
        </m:sSub>
      </m:oMath>
      <w:r>
        <w:t xml:space="preserve"> (or the streaming potential under a pressure gradient) provides a direct, calibration-based estimate of </w:t>
      </w:r>
      <m:oMath xmlns:a="http://schemas.openxmlformats.org/drawingml/2006/main" xmlns:pic="http://schemas.openxmlformats.org/drawingml/2006/picture">
        <m:sSub>
          <m:e>
            <m:r>
              <m:t>t</m:t>
            </m:r>
          </m:e>
          <m:sub>
            <m:r>
              <m:rPr>
                <m:sty m:val="p"/>
              </m:rPr>
              <m:t>+</m:t>
            </m:r>
          </m:sub>
        </m:sSub>
      </m:oMath>
      <w:r>
        <w:t xml:space="preserve"> and hence of </w:t>
      </w:r>
      <m:oMath xmlns:a="http://schemas.openxmlformats.org/drawingml/2006/main" xmlns:pic="http://schemas.openxmlformats.org/drawingml/2006/picture">
        <m:r>
          <m:t>S</m:t>
        </m:r>
      </m:oMath>
      <w:r>
        <w:t xml:space="preserve"> [20–23]. Current-rectification ratios (ICR) in asymmetric or conical pores carry the same charge information and are routinely measured, although they convolve charge with geometry and require the operator to separate the two. Optical routes— plasmonic nanopores, surface-enhanced Raman scattering, or wall-localized fluorescent ion indicators— can in principle resolve the near-wall concentration difference directly, at the cost of labeling and photostability constraints. None of these measurements is as routine as a current–voltage sweep, which is precisely why the identifiability analysis matters: it tells experimentalists that a charge-sensitive readout, not more conductance data, is the measurement to invest in, and the operator can be used to design the bias and salinity protocol that maximizes the information gain before the experiment is built.</w:t>
      </w:r>
    </w:p>
    <w:p>
      <w:r>
        <w:t xml:space="preserve">Two further results bound the method rather than extend it. The trunk ablation shows that the multi-scale radial basis, although physically motivated, is not essential: a plain MLP trunk matches it on the net-charge field and is slightly better in-distribution, and the radial features only improve the wall gradient by about 7%. We retain the radial trunk because the wall gradient and the integrated current are the operationally important outputs, but we report the comparison rather than presenting the radial basis as a necessary ingredient. The scaling study shows that in-distribution accuracy follows the expected </w:t>
      </w:r>
      <m:oMath xmlns:a="http://schemas.openxmlformats.org/drawingml/2006/main" xmlns:pic="http://schemas.openxmlformats.org/drawingml/2006/picture">
        <m:sSup>
          <m:e>
            <m:r>
              <m:t>N</m:t>
            </m:r>
          </m:e>
          <m:sup>
            <m:r>
              <m:rPr>
                <m:sty m:val="p"/>
              </m:rPr>
              <m:t>−</m:t>
            </m:r>
            <m:r>
              <m:t>1</m:t>
            </m:r>
            <m:r>
              <m:rPr>
                <m:sty m:val="p"/>
              </m:rPr>
              <m:t>/</m:t>
            </m:r>
            <m:r>
              <m:t>2</m:t>
            </m:r>
          </m:sup>
        </m:sSup>
      </m:oMath>
      <w:r>
        <w:t xml:space="preserve"> trend, so more in-distribution data translate predictably into higher accuracy, whereas out-of-distribution error is almost flat in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r>
        <w:t>; the training box, not the sample count, sets the extrapolation limit. Together these results indicate that the main lever for improving this class of surrogate is not a more expressive trunk but a wider calibration range and charge-sensitive observables.</w:t>
      </w:r>
    </w:p>
    <w:p>
      <w:r>
        <w:t>Several limitations should be stated plainly. The model is two-dimensional and axisymmetric; it does not resolve azimuthal roughness, pore mouths, or non-circular cross-sections. It neglects steric effects, finite ion size, electro-osmotic convection, and surface chemistry, so it should not be used to interpret pH-dependent or highly concentrated experiments without extension. Temperature, permittivity, and diffusivities are fixed. The training box is modest (</w:t>
      </w:r>
      <m:oMath xmlns:a="http://schemas.openxmlformats.org/drawingml/2006/main" xmlns:pic="http://schemas.openxmlformats.org/drawingml/2006/picture">
        <m:r>
          <m:rPr>
            <m:sty m:val="p"/>
          </m:rPr>
          <m:t>−</m:t>
        </m:r>
        <m:r>
          <m:t>50</m:t>
        </m:r>
      </m:oMath>
      <w:r>
        <w:t xml:space="preserve"> to 50 mV, 20–200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sSub>
          <m:e>
            <m:r>
              <m:t>q</m:t>
            </m:r>
          </m:e>
          <m:sub>
            <m:r>
              <m:t>w</m:t>
            </m:r>
          </m:sub>
        </m:sSub>
        <m:r>
          <m:rPr>
            <m:sty m:val="p"/>
          </m:rPr>
          <m:t>|</m:t>
        </m:r>
        <m:r>
          <m:rPr>
            <m:sty m:val="p"/>
          </m:rPr>
          <m:t>≤</m:t>
        </m:r>
        <m:r>
          <m:t>0.05</m:t>
        </m:r>
      </m:oMath>
      <w:r>
        <w:t>, 3–8 nm), and the OOD split is a controlled extrapolation rather than a stress test at experimental extremes. The reference solver itself is a continuum model; agreement with it demonstrates numerical consistency, not agreement with a particular experiment. Finally, the inverse demonstration uses synthetic noise and a known bulk concentration; in an experiment, concentration and temperature uncertainty would widen the posterior and could break the degeneracy between radius and other geometric parameters.</w:t>
      </w:r>
    </w:p>
    <w:p>
      <w:r>
        <w:t>The deployment results suggest where the work can go next. The browser simulator makes the operator accessible without a solver installation, and the Gradio comparison keeps a reference solve one click away. A natural extension is to add a charge-sensitive observable to the inverse workflow, and to train a second operator that maps current–voltage curves to parameters directly, using the forward operator to generate training pairs. The same dataset and constraint machinery can be reused for that task.</w:t>
      </w:r>
    </w:p>
    <w:p>
      <w:pPr>
        <w:pStyle w:val="Heading2"/>
      </w:pPr>
      <w:r>
        <w:t>5. Conclusion</w:t>
      </w:r>
    </w:p>
    <w:p>
      <w:r>
        <w:t xml:space="preserve">A charge-balanced, exact-reservoir physics-informed operator learns steady axisymmetric PNP transport over a four-dimensional parameter space. The DeepONet achieves 0.0008914 potential and 0.001093 current relative </w:t>
      </w:r>
      <m:oMath xmlns:a="http://schemas.openxmlformats.org/drawingml/2006/main" xmlns:pic="http://schemas.openxmlformats.org/drawingml/2006/picture">
        <m:sSub>
          <m:e>
            <m:r>
              <m:t>L</m:t>
            </m:r>
          </m:e>
          <m:sub>
            <m:r>
              <m:t>2</m:t>
            </m:r>
          </m:sub>
        </m:sSub>
      </m:oMath>
      <w:r>
        <w:t xml:space="preserve"> error on held-out in-distribution states, remains below 0.14% current error out of distribution, and runs in 0.072 ms per state after ONNX export. The charge-balanced parameterization reduces net-charge error by an order of magnitude relative to direct concentration outputs, and the physics loss reduces current error by 35–50%. A trunk ablation shows that the multi-scale radial basis is a modest near-wall inductive bias rather than a necessity, and a nested 384-state study gives an in-distribution error scaling as </w:t>
      </w:r>
      <m:oMath xmlns:a="http://schemas.openxmlformats.org/drawingml/2006/main" xmlns:pic="http://schemas.openxmlformats.org/drawingml/2006/picture">
        <m:sSup>
          <m:e>
            <m:r>
              <m:t>N</m:t>
            </m:r>
          </m:e>
          <m:sup>
            <m:r>
              <m:rPr>
                <m:sty m:val="p"/>
              </m:rPr>
              <m:t>−</m:t>
            </m:r>
            <m:r>
              <m:t>0.55</m:t>
            </m:r>
          </m:sup>
        </m:sSup>
      </m:oMath>
      <w:r>
        <w:t xml:space="preserve"> while out-of-distribution error is nearly data-insensitive. The operator breaks even against the reference solver after about 460 states at the dataset-mean solve time, and is deployed in a browser simulator and a Gradio application that match PyTorch to within </w:t>
      </w:r>
      <m:oMath xmlns:a="http://schemas.openxmlformats.org/drawingml/2006/main" xmlns:pic="http://schemas.openxmlformats.org/drawingml/2006/picture">
        <m:r>
          <m:t>3.6</m:t>
        </m:r>
        <m:r>
          <m:rPr>
            <m:sty m:val="p"/>
          </m:rPr>
          <m:t>×</m:t>
        </m:r>
        <m:sSup>
          <m:e>
            <m:r>
              <m:t>10</m:t>
            </m:r>
          </m:e>
          <m:sup>
            <m:r>
              <m:rPr>
                <m:sty m:val="p"/>
              </m:rPr>
              <m:t>−</m:t>
            </m:r>
            <m:r>
              <m:t>7</m:t>
            </m:r>
          </m:sup>
        </m:sSup>
      </m:oMath>
      <w:r>
        <w:t xml:space="preserve"> maximum absolute difference. A noisy inverse experiment recovers pore radius to 0.46%, and a multi-protocol analysis shows that surface charge is a flat direction for conductance-only inversion at every operating point but is recovered to below 0.3% once a near-wall selectivity observable is added; this defines the measurement requirements for future charge-sensitive workflows.</w:t>
      </w:r>
    </w:p>
    <w:p>
      <w:pPr>
        <w:pStyle w:val="Heading2"/>
      </w:pPr>
      <w:r>
        <w:t>CRediT authorship contribution statement</w:t>
      </w:r>
    </w:p>
    <w:p>
      <w:r>
        <w:rPr>
          <w:b/>
        </w:rPr>
        <w:t>Javad Alizargar:</w:t>
      </w:r>
      <w:r>
        <w:t xml:space="preserve"> Conceptualization, Methodology, Software, Validation, Formal analysis, Investigation, Data curation, Writing – original draft, Writing – review and editing, Visualization, Supervision, Project administration.</w:t>
      </w:r>
    </w:p>
    <w:p>
      <w:pPr>
        <w:pStyle w:val="Heading2"/>
      </w:pPr>
      <w:r>
        <w:t>Declaration of competing interest</w:t>
      </w:r>
    </w:p>
    <w:p>
      <w:r>
        <w:t>The author declares that he has no known competing financial interests or personal relationships that could have appeared to influence the work reported in this paper.</w:t>
      </w:r>
    </w:p>
    <w:p>
      <w:pPr>
        <w:pStyle w:val="Heading2"/>
      </w:pPr>
      <w:r>
        <w:t>Data and code availability</w:t>
      </w:r>
    </w:p>
    <w:p>
      <w:r>
        <w:t xml:space="preserve">The dataset, trained models, figure-generation scripts, and analysis code are available at https://github.com/Javad-Alizargar/nanopore-pino-surrogate under the MIT License. The interactive browser simulator, including a live SG/FV reference solver, is served at https://pino.statwhy.com/. A permanent archived copy will be deposited on Zenodo upon acceptance. The repository contains the SG/FV reference solver, the 240-state dataset and the 384-state expansion used for the scaling study, the training and evaluation scripts, the Stage-10 ablation, scaling, and identifiability scripts, the ONNX models, the browser simulator, and the Gradio application. The raw literature metadata used to build the reference list is included in </w:t>
      </w:r>
      <w:r>
        <w:rPr>
          <w:rFonts w:ascii="Consolas" w:hAnsi="Consolas"/>
          <w:sz w:val="19"/>
        </w:rPr>
        <w:t>manuscript/literature_db.json</w:t>
      </w:r>
      <w:r>
        <w:t>.</w:t>
      </w:r>
    </w:p>
    <w:p>
      <w:pPr>
        <w:pStyle w:val="Heading2"/>
      </w:pPr>
      <w:r>
        <w:t>Generative AI declaration</w:t>
      </w:r>
    </w:p>
    <w:p>
      <w:r>
        <w:t>During the preparation of this work the author used large language model tools for drafting assistance, code generation, and figure-quality review. All numerical results were produced by the local code and verified against the archived result files; all references were checked against Crossref metadata. The author reviewed and edited the content and takes full responsibility for the published article.</w:t>
      </w:r>
    </w:p>
    <w:p>
      <w:pPr>
        <w:pStyle w:val="Heading2"/>
      </w:pPr>
      <w:r>
        <w:t>Acknowledgements</w:t>
      </w:r>
    </w:p>
    <w:p>
      <w:r>
        <w:t>The author thanks the developers of the open-source scientific Python stack used in this work (NumPy, SciPy, PyTorch, ONNX Runtime, Matplotlib, Gradio) and the maintainers of the Crossref and PubMed metadata services.</w:t>
      </w:r>
    </w:p>
    <w:p>
      <w:pPr>
        <w:pStyle w:val="Heading2"/>
      </w:pPr>
      <w:r>
        <w:t>References</w:t>
      </w:r>
    </w:p>
    <w:p>
      <w:pPr>
        <w:pStyle w:val="ListNumber"/>
      </w:pPr>
      <w:r>
        <w:t xml:space="preserve">Kasianowicz, John J., Brandin, Eric, Branton, Daniel, et al. (1996). Characterization of individual polynucleotide molecules using a membrane channel </w:t>
      </w:r>
      <w:r>
        <w:rPr>
          <w:i/>
        </w:rPr>
        <w:t>Proceedings of the National Academy of Sciences</w:t>
      </w:r>
      <w:r>
        <w:t>. doi:10.1073/pnas.93.24.13770</w:t>
      </w:r>
    </w:p>
    <w:p>
      <w:pPr>
        <w:pStyle w:val="ListNumber"/>
      </w:pPr>
      <w:r>
        <w:t xml:space="preserve">Dekker, Cees (2007). Solid-state nanopores </w:t>
      </w:r>
      <w:r>
        <w:rPr>
          <w:i/>
        </w:rPr>
        <w:t>Nature Nanotechnology</w:t>
      </w:r>
      <w:r>
        <w:t>. doi:10.1038/nnano.2007.27</w:t>
      </w:r>
    </w:p>
    <w:p>
      <w:pPr>
        <w:pStyle w:val="ListNumber"/>
      </w:pPr>
      <w:r>
        <w:t xml:space="preserve">Branton, Daniel, Deamer, David W, Marziali, Andre, et al. (2008). The potential and challenges of nanopore sequencing </w:t>
      </w:r>
      <w:r>
        <w:rPr>
          <w:i/>
        </w:rPr>
        <w:t>Nature Biotechnology</w:t>
      </w:r>
      <w:r>
        <w:t>. doi:10.1038/nbt.1495</w:t>
      </w:r>
    </w:p>
    <w:p>
      <w:pPr>
        <w:pStyle w:val="ListNumber"/>
      </w:pPr>
      <w:r>
        <w:t xml:space="preserve">Howorka, Stefan, Siwy, Zuzanna (2009). Nanopore analytics: sensing of single molecules </w:t>
      </w:r>
      <w:r>
        <w:rPr>
          <w:i/>
        </w:rPr>
        <w:t>Chemical Society Reviews</w:t>
      </w:r>
      <w:r>
        <w:t>. doi:10.1039/b813796j</w:t>
      </w:r>
    </w:p>
    <w:p>
      <w:pPr>
        <w:pStyle w:val="ListNumber"/>
      </w:pPr>
      <w:r>
        <w:t xml:space="preserve">Venkatesan, Bala Murali, Bashir, Rashid (2011). Nanopore sensors for nucleic acid analysis </w:t>
      </w:r>
      <w:r>
        <w:rPr>
          <w:i/>
        </w:rPr>
        <w:t>Nature Nanotechnology</w:t>
      </w:r>
      <w:r>
        <w:t>. doi:10.1038/nnano.2011.129</w:t>
      </w:r>
    </w:p>
    <w:p>
      <w:pPr>
        <w:pStyle w:val="ListNumber"/>
      </w:pPr>
      <w:r>
        <w:t xml:space="preserve">Wanunu, Meni (2012). Nanopores: A journey towards DNA sequencing </w:t>
      </w:r>
      <w:r>
        <w:rPr>
          <w:i/>
        </w:rPr>
        <w:t>Physics of Life Reviews</w:t>
      </w:r>
      <w:r>
        <w:t>. doi:10.1016/j.plrev.2012.05.010</w:t>
      </w:r>
    </w:p>
    <w:p>
      <w:pPr>
        <w:pStyle w:val="ListNumber"/>
      </w:pPr>
      <w:r>
        <w:t xml:space="preserve">Stein, Derek, Kruithof, Maarten, Dekker, Cees (2004). Surface-Charge-Governed Ion Transport in Nanofluidic Channels </w:t>
      </w:r>
      <w:r>
        <w:rPr>
          <w:i/>
        </w:rPr>
        <w:t>Physical Review Letters</w:t>
      </w:r>
      <w:r>
        <w:t>. doi:10.1103/physrevlett.93.035901</w:t>
      </w:r>
    </w:p>
    <w:p>
      <w:pPr>
        <w:pStyle w:val="ListNumber"/>
      </w:pPr>
      <w:r>
        <w:t xml:space="preserve">Schoch, Reto B., Han, Jongyoon, Renaud, Philippe (2008). Transport phenomena in nanofluidics </w:t>
      </w:r>
      <w:r>
        <w:rPr>
          <w:i/>
        </w:rPr>
        <w:t>Reviews of Modern Physics</w:t>
      </w:r>
      <w:r>
        <w:t>. doi:10.1103/revmodphys.80.839</w:t>
      </w:r>
    </w:p>
    <w:p>
      <w:pPr>
        <w:pStyle w:val="ListNumber"/>
      </w:pPr>
      <w:r>
        <w:t xml:space="preserve">Bocquet, Lydéric, Charlaix, Elisabeth (2010). Nanofluidics, from bulk to interfaces </w:t>
      </w:r>
      <w:r>
        <w:rPr>
          <w:i/>
        </w:rPr>
        <w:t>Chem. Soc. Rev.</w:t>
      </w:r>
      <w:r>
        <w:t>. doi:10.1039/b909366b</w:t>
      </w:r>
    </w:p>
    <w:p>
      <w:pPr>
        <w:pStyle w:val="ListNumber"/>
      </w:pPr>
      <w:r>
        <w:t xml:space="preserve">Daiguji, Hirofumi (2010). Ion transport in nanofluidic channels </w:t>
      </w:r>
      <w:r>
        <w:rPr>
          <w:i/>
        </w:rPr>
        <w:t>Chem. Soc. Rev.</w:t>
      </w:r>
      <w:r>
        <w:t>. doi:10.1039/b820556f</w:t>
      </w:r>
    </w:p>
    <w:p>
      <w:pPr>
        <w:pStyle w:val="ListNumber"/>
      </w:pPr>
      <w:r>
        <w:t xml:space="preserve">Tagliazucchi, Mario, Szleifer, Igal (2015). Transport mechanisms in nanopores and nanochannels: can we mimic nature? </w:t>
      </w:r>
      <w:r>
        <w:rPr>
          <w:i/>
        </w:rPr>
        <w:t>Materials Today</w:t>
      </w:r>
      <w:r>
        <w:t>. doi:10.1016/j.mattod.2014.10.020</w:t>
      </w:r>
    </w:p>
    <w:p>
      <w:pPr>
        <w:pStyle w:val="ListNumber"/>
      </w:pPr>
      <w:r>
        <w:t xml:space="preserve">Karnik, Rohit, Fan, Rong, Yue, Min, et al. (2005). Electrostatic Control of Ions and Molecules in Nanofluidic Transistors </w:t>
      </w:r>
      <w:r>
        <w:rPr>
          <w:i/>
        </w:rPr>
        <w:t>Nano Letters</w:t>
      </w:r>
      <w:r>
        <w:t>. doi:10.1021/nl050493b</w:t>
      </w:r>
    </w:p>
    <w:p>
      <w:pPr>
        <w:pStyle w:val="ListNumber"/>
      </w:pPr>
      <w:r>
        <w:t xml:space="preserve">Smeets, Ralph M. M., Keyser, Ulrich F., Krapf, Diego, et al. (2005). Salt Dependence of Ion Transport and DNA Translocation through Solid-State Nanopores </w:t>
      </w:r>
      <w:r>
        <w:rPr>
          <w:i/>
        </w:rPr>
        <w:t>Nano Letters</w:t>
      </w:r>
      <w:r>
        <w:t>. doi:10.1021/nl052107w</w:t>
      </w:r>
    </w:p>
    <w:p>
      <w:pPr>
        <w:pStyle w:val="ListNumber"/>
      </w:pPr>
      <w:r>
        <w:t xml:space="preserve">Kosińska, I. D., Goychuk, I., Kostur, M., et al. (2008). Rectification in synthetic conical nanopores: A one-dimensional Poisson-Nernst-Planck model </w:t>
      </w:r>
      <w:r>
        <w:rPr>
          <w:i/>
        </w:rPr>
        <w:t>Physical Review E</w:t>
      </w:r>
      <w:r>
        <w:t>. doi:10.1103/physreve.77.031131</w:t>
      </w:r>
    </w:p>
    <w:p>
      <w:pPr>
        <w:pStyle w:val="ListNumber"/>
      </w:pPr>
      <w:r>
        <w:t xml:space="preserve">Valiskó, Mónika, Matejczyk, Bartłomiej, Ható, Zoltán, et al. (2019). Multiscale analysis of the effect of surface charge pattern on a nanopore’s rectification and selectivity properties: From all-atom model to Poisson-Nernst-Planck </w:t>
      </w:r>
      <w:r>
        <w:rPr>
          <w:i/>
        </w:rPr>
        <w:t>The Journal of Chemical Physics</w:t>
      </w:r>
      <w:r>
        <w:t>. doi:10.1063/1.5091789</w:t>
      </w:r>
    </w:p>
    <w:p>
      <w:pPr>
        <w:pStyle w:val="ListNumber"/>
      </w:pPr>
      <w:r>
        <w:t xml:space="preserve">Ma, Pengfei, Zheng, Jianxiang, Zhao, Danting, et al. (2021). The Selective Transport of Ions in Charged Nanopore with Combined Multi-Physics Fields </w:t>
      </w:r>
      <w:r>
        <w:rPr>
          <w:i/>
        </w:rPr>
        <w:t>Materials</w:t>
      </w:r>
      <w:r>
        <w:t>. doi:10.3390/ma14227012</w:t>
      </w:r>
    </w:p>
    <w:p>
      <w:pPr>
        <w:pStyle w:val="ListNumber"/>
      </w:pPr>
      <w:r>
        <w:t xml:space="preserve">Coalson, R.D., Kurnikova, M.G. (2005). Poisson–Nernst–Planck Theory Approach to the Calculation of Current Through Biological Ion Channels </w:t>
      </w:r>
      <w:r>
        <w:rPr>
          <w:i/>
        </w:rPr>
        <w:t>IEEE Transactions on Nanobioscience</w:t>
      </w:r>
      <w:r>
        <w:t>. doi:10.1109/tnb.2004.842495</w:t>
      </w:r>
    </w:p>
    <w:p>
      <w:pPr>
        <w:pStyle w:val="ListNumber"/>
      </w:pPr>
      <w:r>
        <w:t xml:space="preserve">Eisenberg, Bob, Liu, Weishi (2007). Poisson–Nernst–Planck Systems for Ion Channels with Permanent Charges </w:t>
      </w:r>
      <w:r>
        <w:rPr>
          <w:i/>
        </w:rPr>
        <w:t>SIAM Journal on Mathematical Analysis</w:t>
      </w:r>
      <w:r>
        <w:t>. doi:10.1137/060657480</w:t>
      </w:r>
    </w:p>
    <w:p>
      <w:pPr>
        <w:pStyle w:val="ListNumber"/>
      </w:pPr>
      <w:r>
        <w:t xml:space="preserve">Zheng, Qiong, Chen, Duan, Wei, Guo-Wei (2011). Second-order Poisson–Nernst–Planck solver for ion transport </w:t>
      </w:r>
      <w:r>
        <w:rPr>
          <w:i/>
        </w:rPr>
        <w:t>Journal of Computational Physics</w:t>
      </w:r>
      <w:r>
        <w:t>. doi:10.1016/j.jcp.2011.03.020</w:t>
      </w:r>
    </w:p>
    <w:p>
      <w:pPr>
        <w:pStyle w:val="ListNumber"/>
      </w:pPr>
      <w:r>
        <w:t xml:space="preserve">Zhuorui Song (2021). Electrokinetic Flow in a Nanochannel with an Overlapped Electrical Double Layer </w:t>
      </w:r>
      <w:r>
        <w:rPr>
          <w:i/>
        </w:rPr>
        <w:t>Digital Commons - USU (Utah State University)</w:t>
      </w:r>
      <w:r>
        <w:t>. doi:10.26076/a748-e85a</w:t>
      </w:r>
    </w:p>
    <w:p>
      <w:pPr>
        <w:pStyle w:val="ListNumber"/>
      </w:pPr>
      <w:r>
        <w:t xml:space="preserve">Haosen Xu, Jianbo Zhang, Michael Hermann Eikerling, et al. (2024). Pure Water Splitting Driven by Overlapping Electric Double Layers </w:t>
      </w:r>
      <w:r>
        <w:rPr>
          <w:i/>
        </w:rPr>
        <w:t>Journal of the American Chemical Society</w:t>
      </w:r>
      <w:r>
        <w:t>. doi:10.1021/jacs.4c01070</w:t>
      </w:r>
    </w:p>
    <w:p>
      <w:pPr>
        <w:pStyle w:val="ListNumber"/>
      </w:pPr>
      <w:r>
        <w:t xml:space="preserve">Cody L. Ritt, J. Pedro de Souza, Michelle G. Barsukov, et al. (2022). Thermodynamics of Charge Regulation during Ion Transport through Silica Nanochannels </w:t>
      </w:r>
      <w:r>
        <w:rPr>
          <w:i/>
        </w:rPr>
        <w:t>ACS Nano</w:t>
      </w:r>
      <w:r>
        <w:t>. doi:10.1021/acsnano.2c06633</w:t>
      </w:r>
    </w:p>
    <w:p>
      <w:pPr>
        <w:pStyle w:val="ListNumber"/>
      </w:pPr>
      <w:r>
        <w:t xml:space="preserve">Baisakhi Pal, Poulami Dutta, Sourav Chowdhury, et al. (2026). Electroosmotic Dispersion of Uncharged Solutes through a Nanochannel </w:t>
      </w:r>
      <w:r>
        <w:rPr>
          <w:i/>
        </w:rPr>
        <w:t>Industrial &amp; Engineering Chemistry Research</w:t>
      </w:r>
      <w:r>
        <w:t>. doi:10.1021/acs.iecr.6c00231</w:t>
      </w:r>
    </w:p>
    <w:p>
      <w:pPr>
        <w:pStyle w:val="ListNumber"/>
      </w:pPr>
      <w:r>
        <w:t xml:space="preserve">Tim M. Kamsma, Jaehyun Kim, Kyungjun Kim, et al. (2024). Brain-inspired computing with fluidic iontronic nanochannels </w:t>
      </w:r>
      <w:r>
        <w:rPr>
          <w:i/>
        </w:rPr>
        <w:t>Proceedings of the National Academy of Sciences</w:t>
      </w:r>
      <w:r>
        <w:t>. doi:10.1073/pnas.2320242121</w:t>
      </w:r>
    </w:p>
    <w:p>
      <w:pPr>
        <w:pStyle w:val="ListNumber"/>
      </w:pPr>
      <w:r>
        <w:t xml:space="preserve">Olga I. Vinogradova, Elena F. Silkina (2023). Electrophoresis of ions and electrolyte conductivity: From bulk to nanochannels </w:t>
      </w:r>
      <w:r>
        <w:rPr>
          <w:i/>
        </w:rPr>
        <w:t>The Journal of Chemical Physics</w:t>
      </w:r>
      <w:r>
        <w:t>. doi:10.1063/5.0168557</w:t>
      </w:r>
    </w:p>
    <w:p>
      <w:pPr>
        <w:pStyle w:val="ListNumber"/>
      </w:pPr>
      <w:r>
        <w:t xml:space="preserve">Scharfetter, D.L., Gummel, H.K. (1969). Large-signal analysis of a silicon Read diode oscillator </w:t>
      </w:r>
      <w:r>
        <w:rPr>
          <w:i/>
        </w:rPr>
        <w:t>IEEE Transactions on Electron Devices</w:t>
      </w:r>
      <w:r>
        <w:t>. doi:10.1109/t-ed.1969.16566</w:t>
      </w:r>
    </w:p>
    <w:p>
      <w:pPr>
        <w:pStyle w:val="ListNumber"/>
      </w:pPr>
      <w:r>
        <w:t xml:space="preserve">Miller, J. J. H., Wang, Song (1994). An analysis of the Scharfetter-Gummel box method for the stationary semiconductor device equations </w:t>
      </w:r>
      <w:r>
        <w:rPr>
          <w:i/>
        </w:rPr>
        <w:t>ESAIM: Mathematical Modelling and Numerical Analysis</w:t>
      </w:r>
      <w:r>
        <w:t>. doi:10.1051/m2an/1994280201231</w:t>
      </w:r>
    </w:p>
    <w:p>
      <w:pPr>
        <w:pStyle w:val="ListNumber"/>
      </w:pPr>
      <w:r>
        <w:t xml:space="preserve">Raissi, M., Perdikaris, P., Karniadakis, G.E. (2019). Physics-informed neural networks: A deep learning framework for solving forward and inverse problems involving nonlinear partial differential equations </w:t>
      </w:r>
      <w:r>
        <w:rPr>
          <w:i/>
        </w:rPr>
        <w:t>Journal of Computational Physics</w:t>
      </w:r>
      <w:r>
        <w:t>. doi:10.1016/j.jcp.2018.10.045</w:t>
      </w:r>
    </w:p>
    <w:p>
      <w:pPr>
        <w:pStyle w:val="ListNumber"/>
      </w:pPr>
      <w:r>
        <w:t xml:space="preserve">Karniadakis, George Em, Kevrekidis, Ioannis G., Lu, Lu, et al. (2021). Physics-informed machine learning </w:t>
      </w:r>
      <w:r>
        <w:rPr>
          <w:i/>
        </w:rPr>
        <w:t>Nature Reviews Physics</w:t>
      </w:r>
      <w:r>
        <w:t>. doi:10.1038/s42254-021-00314-5</w:t>
      </w:r>
    </w:p>
    <w:p>
      <w:pPr>
        <w:pStyle w:val="ListNumber"/>
      </w:pPr>
      <w:r>
        <w:t xml:space="preserve">Lu, Lu, Meng, Xuhui, Mao, Zhiping, et al. (2021). DeepXDE: A Deep Learning Library for Solving Differential Equations </w:t>
      </w:r>
      <w:r>
        <w:rPr>
          <w:i/>
        </w:rPr>
        <w:t>SIAM Review</w:t>
      </w:r>
      <w:r>
        <w:t>. doi:10.1137/19m1274067</w:t>
      </w:r>
    </w:p>
    <w:p>
      <w:pPr>
        <w:pStyle w:val="ListNumber"/>
      </w:pPr>
      <w:r>
        <w:t xml:space="preserve">Lagaris, I.E., Likas, A., Fotiadis, D.I. (1998). Artificial neural networks for solving ordinary and partial differential equations </w:t>
      </w:r>
      <w:r>
        <w:rPr>
          <w:i/>
        </w:rPr>
        <w:t>IEEE Transactions on Neural Networks</w:t>
      </w:r>
      <w:r>
        <w:t>. doi:10.1109/72.712178</w:t>
      </w:r>
    </w:p>
    <w:p>
      <w:pPr>
        <w:pStyle w:val="ListNumber"/>
      </w:pPr>
      <w:r>
        <w:t xml:space="preserve">Wang, Sifan, Teng, Yujun, Perdikaris, Paris (2021). Understanding and Mitigating Gradient Flow Pathologies in Physics-Informed Neural Networks </w:t>
      </w:r>
      <w:r>
        <w:rPr>
          <w:i/>
        </w:rPr>
        <w:t>SIAM Journal on Scientific Computing</w:t>
      </w:r>
      <w:r>
        <w:t>. doi:10.1137/20m1318043</w:t>
      </w:r>
    </w:p>
    <w:p>
      <w:pPr>
        <w:pStyle w:val="ListNumber"/>
      </w:pPr>
      <w:r>
        <w:t xml:space="preserve">(2021). Characterizing possible failure modes in physics-informed neural networks </w:t>
      </w:r>
      <w:r>
        <w:rPr>
          <w:i/>
        </w:rPr>
        <w:t>arXiv (Cornell University)</w:t>
      </w:r>
      <w:r>
        <w:t>. doi:10.48550/arxiv.2109.01050</w:t>
      </w:r>
    </w:p>
    <w:p>
      <w:pPr>
        <w:pStyle w:val="ListNumber"/>
      </w:pPr>
      <w:r>
        <w:t xml:space="preserve">Sukumar, N., Srivastava, Ankit (2022). Exact imposition of boundary conditions with distance functions in physics-informed deep neural networks </w:t>
      </w:r>
      <w:r>
        <w:rPr>
          <w:i/>
        </w:rPr>
        <w:t>Computer Methods in Applied Mechanics and Engineering</w:t>
      </w:r>
      <w:r>
        <w:t>. doi:10.1016/j.cma.2021.114333</w:t>
      </w:r>
    </w:p>
    <w:p>
      <w:pPr>
        <w:pStyle w:val="ListNumber"/>
      </w:pPr>
      <w:r>
        <w:t xml:space="preserve">Shaikhah Alkhadhr, Mohamed Khaled Almekkawy (2023). Wave Equation Modeling via Physics-Informed Neural Networks: Models of Soft and Hard Constraints for Initial and Boundary Conditions </w:t>
      </w:r>
      <w:r>
        <w:rPr>
          <w:i/>
        </w:rPr>
        <w:t>Sensors</w:t>
      </w:r>
      <w:r>
        <w:t>. doi:10.3390/s23052792</w:t>
      </w:r>
    </w:p>
    <w:p>
      <w:pPr>
        <w:pStyle w:val="ListNumber"/>
      </w:pPr>
      <w:r>
        <w:t xml:space="preserve">Gang Jing, Huan Wang, Yuan Jiu, et al. (2026). A unified hard-constraint physics-informed neural network approach for sparse-observation airflow-field reconstruction under complex boundary conditions </w:t>
      </w:r>
      <w:r>
        <w:rPr>
          <w:i/>
        </w:rPr>
        <w:t>Engineering Applications of Artificial Intelligence</w:t>
      </w:r>
      <w:r>
        <w:t>. doi:10.1016/j.engappai.2026.116169</w:t>
      </w:r>
    </w:p>
    <w:p>
      <w:pPr>
        <w:pStyle w:val="ListNumber"/>
      </w:pPr>
      <w:r>
        <w:t xml:space="preserve">Mohammad Sheikholeslami, Saeed Salehi, Wengang Mao, et al. (2025). Physics-informed neural networks with hard and soft boundary conditions for linear free surface waves </w:t>
      </w:r>
      <w:r>
        <w:rPr>
          <w:i/>
        </w:rPr>
        <w:t>Physics of Fluids</w:t>
      </w:r>
      <w:r>
        <w:t>. doi:10.1063/5.0277421</w:t>
      </w:r>
    </w:p>
    <w:p>
      <w:pPr>
        <w:pStyle w:val="ListNumber"/>
      </w:pPr>
      <w:r>
        <w:t xml:space="preserve">Peng Lan, Jing-jing Su, Xin-yan Ma, et al. (2023). Application of improved physics-informed neural networks for nonlinear consolidation problems with continuous drainage boundary conditions </w:t>
      </w:r>
      <w:r>
        <w:rPr>
          <w:i/>
        </w:rPr>
        <w:t>Acta Geotechnica</w:t>
      </w:r>
      <w:r>
        <w:t>. doi:10.1007/s11440-023-01899-0</w:t>
      </w:r>
    </w:p>
    <w:p>
      <w:pPr>
        <w:pStyle w:val="ListNumber"/>
      </w:pPr>
      <w:r>
        <w:t xml:space="preserve">Stefano Berrone, Claudio Canuto, Moreno Pintore, et al. (2023). Enforcing Dirichlet boundary conditions in physics-informed neural networks and variational physics-informed neural networks </w:t>
      </w:r>
      <w:r>
        <w:rPr>
          <w:i/>
        </w:rPr>
        <w:t>Heliyon</w:t>
      </w:r>
      <w:r>
        <w:t>. doi:10.1016/j.heliyon.2023.e18820</w:t>
      </w:r>
    </w:p>
    <w:p>
      <w:pPr>
        <w:pStyle w:val="ListNumber"/>
      </w:pPr>
      <w:r>
        <w:t xml:space="preserve">Xinquan Huang, Tariq A. Alkhalifah (2024). Microseismic Source Imaging Using Physics-Informed Neural Networks With Hard Constraints </w:t>
      </w:r>
      <w:r>
        <w:rPr>
          <w:i/>
        </w:rPr>
        <w:t>IEEE Transactions on Geoscience and Remote Sensing</w:t>
      </w:r>
      <w:r>
        <w:t>. doi:10.1109/tgrs.2024.3366449</w:t>
      </w:r>
    </w:p>
    <w:p>
      <w:pPr>
        <w:pStyle w:val="ListNumber"/>
      </w:pPr>
      <w:r>
        <w:t xml:space="preserve">D. Jagtap, Ameya, Em Karniadakis, George (2020). Extended Physics-Informed Neural Networks (XPINNs): A Generalized Space-Time Domain Decomposition Based Deep Learning Framework for Nonlinear Partial Differential Equations </w:t>
      </w:r>
      <w:r>
        <w:rPr>
          <w:i/>
        </w:rPr>
        <w:t>Communications in Computational Physics</w:t>
      </w:r>
      <w:r>
        <w:t>. doi:10.4208/cicp.oa-2020-0164</w:t>
      </w:r>
    </w:p>
    <w:p>
      <w:pPr>
        <w:pStyle w:val="ListNumber"/>
      </w:pPr>
      <w:r>
        <w:t xml:space="preserve">Huang, Xujia, Wang, Fajie, Zhang, Benrong, et al. (2025). Enriched physics-informed neural networks for dynamic Poisson-Nernst-Planck systems </w:t>
      </w:r>
      <w:r>
        <w:rPr>
          <w:i/>
        </w:rPr>
        <w:t>Mathematics and Computers in Simulation</w:t>
      </w:r>
      <w:r>
        <w:t>. doi:10.1016/j.matcom.2025.04.037</w:t>
      </w:r>
    </w:p>
    <w:p>
      <w:pPr>
        <w:pStyle w:val="ListNumber"/>
      </w:pPr>
      <w:r>
        <w:t xml:space="preserve">Zheng, Jinglai, Huang, Jie, Huang, Haiming (2025). Physics-informed neural networks for solving thermal response of charring materials </w:t>
      </w:r>
      <w:r>
        <w:rPr>
          <w:i/>
        </w:rPr>
        <w:t>Acta Astronautica</w:t>
      </w:r>
      <w:r>
        <w:t>. doi:10.1016/j.actaastro.2025.07.010</w:t>
      </w:r>
    </w:p>
    <w:p>
      <w:pPr>
        <w:pStyle w:val="ListNumber"/>
      </w:pPr>
      <w:r>
        <w:t xml:space="preserve">Zheng, Jinglai, Hu, Hanying, Huang, Jie, et al. (2025). CF-DeepONet: Deep operator neural networks for solving compressible flows </w:t>
      </w:r>
      <w:r>
        <w:rPr>
          <w:i/>
        </w:rPr>
        <w:t>Aerospace Science and Technology</w:t>
      </w:r>
      <w:r>
        <w:t>. doi:10.1016/j.ast.2025.110329</w:t>
      </w:r>
    </w:p>
    <w:p>
      <w:pPr>
        <w:pStyle w:val="ListNumber"/>
      </w:pPr>
      <w:r>
        <w:t xml:space="preserve">Zheng, Jinglai, Li, Fan, Huang, Haiming (2024). T-phPINN: Physics-informed neural networks for solving 2D non-Fourier heat conduction equations </w:t>
      </w:r>
      <w:r>
        <w:rPr>
          <w:i/>
        </w:rPr>
        <w:t>International Journal of Heat and Mass Transfer</w:t>
      </w:r>
      <w:r>
        <w:t>. doi:10.1016/j.ijheatmasstransfer.2024.126216</w:t>
      </w:r>
    </w:p>
    <w:p>
      <w:pPr>
        <w:pStyle w:val="ListNumber"/>
      </w:pPr>
      <w:r>
        <w:t xml:space="preserve">Wei, Congxin, Pang, Haikuo, Huang, Teng, et al. (2026). Predicting lithium-ion battery health using attention mechanism with Kolmogorov-Arnold and physics-informed neural networks </w:t>
      </w:r>
      <w:r>
        <w:rPr>
          <w:i/>
        </w:rPr>
        <w:t>Expert Systems with Applications</w:t>
      </w:r>
      <w:r>
        <w:t>. doi:10.1016/j.eswa.2025.128969</w:t>
      </w:r>
    </w:p>
    <w:p>
      <w:pPr>
        <w:pStyle w:val="ListNumber"/>
      </w:pPr>
      <w:r>
        <w:t xml:space="preserve">Lu Lu, Pengzhan Jin, Guofei Pang, et al. (2021). Learning nonlinear operators via DeepONet based on the universal approximation theorem of operators </w:t>
      </w:r>
      <w:r>
        <w:rPr>
          <w:i/>
        </w:rPr>
        <w:t>Nature Machine Intelligence</w:t>
      </w:r>
      <w:r>
        <w:t>. doi:10.1038/s42256-021-00302-5</w:t>
      </w:r>
    </w:p>
    <w:p>
      <w:pPr>
        <w:pStyle w:val="ListNumber"/>
      </w:pPr>
      <w:r>
        <w:t xml:space="preserve">Samuel Lanthaler, Siddhartha Mishra, George Em Karniadakis (2022). Error estimates for DeepONets: a deep learning framework in infinite dimensions </w:t>
      </w:r>
      <w:r>
        <w:rPr>
          <w:i/>
        </w:rPr>
        <w:t>Transactions of Mathematics and Its Applications</w:t>
      </w:r>
      <w:r>
        <w:t>. doi:10.1093/imatrm/tnac001</w:t>
      </w:r>
    </w:p>
    <w:p>
      <w:pPr>
        <w:pStyle w:val="ListNumber"/>
      </w:pPr>
      <w:r>
        <w:t xml:space="preserve">Sifan Wang, Hanwen Wang, Paris G. Perdikaris (2021). Learning the solution operator of parametric partial differential equations with physics-informed DeepONets </w:t>
      </w:r>
      <w:r>
        <w:rPr>
          <w:i/>
        </w:rPr>
        <w:t>Science Advances</w:t>
      </w:r>
      <w:r>
        <w:t>. doi:10.1126/sciadv.abi8605</w:t>
      </w:r>
    </w:p>
    <w:p>
      <w:pPr>
        <w:pStyle w:val="ListNumber"/>
      </w:pPr>
      <w:r>
        <w:t xml:space="preserve">Hwijae Son (2025). ELM-DeepONets: Backpropagation-Free Training of Deep Operator Networks via Extreme Learning Machines </w:t>
      </w:r>
      <w:r>
        <w:rPr>
          <w:i/>
        </w:rPr>
        <w:t>IEEE Access</w:t>
      </w:r>
      <w:r>
        <w:t>. doi:10.1109/access.2025.3570502</w:t>
      </w:r>
    </w:p>
    <w:p>
      <w:pPr>
        <w:pStyle w:val="ListNumber"/>
      </w:pPr>
      <w:r>
        <w:t xml:space="preserve">Qiuying Ma, Xinghan Jiang, Xinlong Guo, et al. (2025). Layer-Interaction DeepONet for Modeling Ultrafast Nonlinear Dynamics in Optical Fibers </w:t>
      </w:r>
      <w:r>
        <w:rPr>
          <w:i/>
        </w:rPr>
        <w:t>Journal of Lightwave Technology</w:t>
      </w:r>
      <w:r>
        <w:t>. doi:10.1109/jlt.2025.3598027</w:t>
      </w:r>
    </w:p>
    <w:p>
      <w:pPr>
        <w:pStyle w:val="ListNumber"/>
      </w:pPr>
      <w:r>
        <w:t xml:space="preserve">Samuel Lanthaler, Zongyi Li, Andrew M. Stuart (2025). Nonlocality and Nonlinearity Implies Universality in Operator Learning </w:t>
      </w:r>
      <w:r>
        <w:rPr>
          <w:i/>
        </w:rPr>
        <w:t>Constructive Approximation</w:t>
      </w:r>
      <w:r>
        <w:t>. doi:10.1007/s00365-025-09718-3</w:t>
      </w:r>
    </w:p>
    <w:p>
      <w:pPr>
        <w:pStyle w:val="ListNumber"/>
      </w:pPr>
      <w:r>
        <w:t xml:space="preserve">Yongjin Choi, Chenying Liu, Jorge Macedo (2026). Operator learning for consolidation: An architectural comparison for DeepONet variants </w:t>
      </w:r>
      <w:r>
        <w:rPr>
          <w:i/>
        </w:rPr>
        <w:t>Computers and Geotechnics</w:t>
      </w:r>
      <w:r>
        <w:t>. doi:10.1016/j.compgeo.2026.108017</w:t>
      </w:r>
    </w:p>
    <w:p>
      <w:pPr>
        <w:pStyle w:val="ListNumber"/>
      </w:pPr>
      <w:r>
        <w:t xml:space="preserve">Hailong Sheng, Yulin Xie, Chao Yang (2025). XFNO: Extended Fourier neural operator for solving parametric partial differential equations on general geometries </w:t>
      </w:r>
      <w:r>
        <w:rPr>
          <w:i/>
        </w:rPr>
        <w:t>Computer Physics Communications</w:t>
      </w:r>
      <w:r>
        <w:t>. doi:10.1016/j.cpc.2025.109774</w:t>
      </w:r>
    </w:p>
    <w:p>
      <w:pPr>
        <w:pStyle w:val="ListNumber"/>
      </w:pPr>
      <w:r>
        <w:t xml:space="preserve">Kai Qi, Jian Sun (2024). Gabor-Filtered Fourier Neural Operator for solving Partial Differential Equations </w:t>
      </w:r>
      <w:r>
        <w:rPr>
          <w:i/>
        </w:rPr>
        <w:t>Computers &amp; Fluids</w:t>
      </w:r>
      <w:r>
        <w:t>. doi:10.1016/j.compfluid.2024.106239</w:t>
      </w:r>
    </w:p>
    <w:p>
      <w:pPr>
        <w:pStyle w:val="ListNumber"/>
      </w:pPr>
      <w:r>
        <w:t xml:space="preserve">Kangjie Li, Wenjing Ye (2025). D-FNO: A decomposed Fourier neural operator for large-scale parametric partial differential equations </w:t>
      </w:r>
      <w:r>
        <w:rPr>
          <w:i/>
        </w:rPr>
        <w:t>Computer Methods in Applied Mechanics and Engineering</w:t>
      </w:r>
      <w:r>
        <w:t>. doi:10.1016/j.cma.2025.117732</w:t>
      </w:r>
    </w:p>
    <w:p>
      <w:pPr>
        <w:pStyle w:val="ListNumber"/>
      </w:pPr>
      <w:r>
        <w:t xml:space="preserve">(2024). Physics-informed fourier neural operators: A machine learning method for parametric partial differential equations </w:t>
      </w:r>
      <w:r>
        <w:rPr>
          <w:i/>
        </w:rPr>
        <w:t>Journal of Nonlinear and Variational Analysis</w:t>
      </w:r>
      <w:r>
        <w:t>. doi:10.23952/jnva.9.2025.1.04</w:t>
      </w:r>
    </w:p>
    <w:p>
      <w:pPr>
        <w:pStyle w:val="ListNumber"/>
      </w:pPr>
      <w:r>
        <w:t xml:space="preserve">Zongyi Li, Hongkai Zheng, Nikola Kovachki, et al. (2024). Physics-Informed Neural Operator for Learning Partial Differential Equations </w:t>
      </w:r>
      <w:r>
        <w:rPr>
          <w:i/>
        </w:rPr>
        <w:t>ACM / IMS Journal of Data Science</w:t>
      </w:r>
      <w:r>
        <w:t>. doi:10.1145/3648506</w:t>
      </w:r>
    </w:p>
    <w:p>
      <w:pPr>
        <w:pStyle w:val="ListNumber"/>
      </w:pPr>
      <w:r>
        <w:t xml:space="preserve">Hugo Melchers, Joost Prins, Michael Abdelmalik (2026). Neural Green’s operators for parametric partial differential equations </w:t>
      </w:r>
      <w:r>
        <w:rPr>
          <w:i/>
        </w:rPr>
        <w:t>Computer Methods in Applied Mechanics and Engineering</w:t>
      </w:r>
      <w:r>
        <w:t>. doi:10.1016/j.cma.2026.118893</w:t>
      </w:r>
    </w:p>
    <w:p>
      <w:pPr>
        <w:pStyle w:val="ListNumber"/>
      </w:pPr>
      <w:r>
        <w:t xml:space="preserve">Muhammad Tahir Rafiq, Ghazala Rafiq, Ho-Youl Jung, et al. (2022). SSNO: Spatio-Spectral Neural Operator for Functional Space Learning of Partial Differential Equations </w:t>
      </w:r>
      <w:r>
        <w:rPr>
          <w:i/>
        </w:rPr>
        <w:t>IEEE Access</w:t>
      </w:r>
      <w:r>
        <w:t>. doi:10.1109/access.2022.3148401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