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A parameter-conditioned physics-informed neural operator for axisymmetric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eighteen display tables (Supplementary Tables S1–S18); the main text contains the six multipanel figures only.</w:t>
      </w:r>
    </w:p>
    <w:p>
      <w:pPr>
        <w:pStyle w:val="Heading2"/>
      </w:pPr>
      <w:r>
        <w:t>S0. Primary quantitative tables transferred from the manuscript</w:t>
      </w:r>
    </w:p>
    <w:p>
      <w:r>
        <w:t>These six tables carry the headline numbers referenced from the main text. They are reproduced here so that the main text can remain figure-driven and narrative.</w:t>
      </w: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Quantity</w:t>
            </w:r>
          </w:p>
        </w:tc>
        <w:tc>
          <w:tcPr>
            <w:tcW w:type="dxa" w:w="4680"/>
          </w:tcPr>
          <w:p>
            <w:r>
              <w:rPr>
                <w:b/>
                <w:sz w:val="17"/>
              </w:rPr>
              <w:t>Value</w:t>
            </w:r>
          </w:p>
        </w:tc>
      </w:tr>
      <w:tr>
        <w:tc>
          <w:tcPr>
            <w:tcW w:type="dxa" w:w="4680"/>
          </w:tcPr>
          <w:p>
            <w:r>
              <w:rPr>
                <w:sz w:val="17"/>
              </w:rPr>
              <w:t>States</w:t>
            </w:r>
          </w:p>
        </w:tc>
        <w:tc>
          <w:tcPr>
            <w:tcW w:type="dxa" w:w="4680"/>
          </w:tcPr>
          <w:p>
            <w:r>
              <w:rPr>
                <w:sz w:val="17"/>
              </w:rPr>
              <w:t>240</w:t>
            </w:r>
          </w:p>
        </w:tc>
      </w:tr>
      <w:tr>
        <w:tc>
          <w:tcPr>
            <w:tcW w:type="dxa" w:w="4680"/>
          </w:tcPr>
          <w:p>
            <w:r>
              <w:rPr>
                <w:sz w:val="17"/>
              </w:rPr>
              <w:t>Train / interpolation / OOD</w:t>
            </w:r>
          </w:p>
        </w:tc>
        <w:tc>
          <w:tcPr>
            <w:tcW w:type="dxa" w:w="4680"/>
          </w:tcPr>
          <w:p>
            <w:r>
              <w:rPr>
                <w:sz w:val="17"/>
              </w:rPr>
              <w:t>144 / 48 / 48</w:t>
            </w:r>
          </w:p>
        </w:tc>
      </w:tr>
      <w:t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c>
          <w:tcPr>
            <w:tcW w:type="dxa" w:w="4680"/>
          </w:tcPr>
          <w:p>
            <w:r>
              <w:rPr>
                <w:sz w:val="17"/>
              </w:rPr>
              <w:t>Continuation steps (all states)</w:t>
            </w:r>
          </w:p>
        </w:tc>
        <w:tc>
          <w:tcPr>
            <w:tcW w:type="dxa" w:w="4680"/>
          </w:tcPr>
          <w:p>
            <w:r>
              <w:rPr>
                <w:sz w:val="17"/>
              </w:rPr>
              <w:t>0</w:t>
            </w:r>
          </w:p>
        </w:tc>
      </w:tr>
      <w:tr>
        <w:tc>
          <w:tcPr>
            <w:tcW w:type="dxa" w:w="4680"/>
          </w:tcPr>
          <w:p>
            <w:r>
              <w:rPr>
                <w:sz w:val="17"/>
              </w:rPr>
              <w:t>Benchmark current</w:t>
            </w:r>
          </w:p>
        </w:tc>
        <w:tc>
          <w:tcPr>
            <w:tcW w:type="dxa" w:w="4680"/>
          </w:tcPr>
          <w:p>
            <w:r>
              <w:rPr>
                <w:sz w:val="17"/>
              </w:rPr>
              <w:t>196.1 pA</w:t>
            </w:r>
          </w:p>
        </w:tc>
      </w:tr>
      <w:tr>
        <w:tc>
          <w:tcPr>
            <w:tcW w:type="dxa" w:w="4680"/>
          </w:tcPr>
          <w:p>
            <w:r>
              <w:rPr>
                <w:sz w:val="17"/>
              </w:rPr>
              <w:t>SG/FV median wall time</w:t>
            </w:r>
          </w:p>
        </w:tc>
        <w:tc>
          <w:tcPr>
            <w:tcW w:type="dxa" w:w="4680"/>
          </w:tcPr>
          <w:p>
            <w:r>
              <w:rPr>
                <w:sz w:val="17"/>
              </w:rPr>
              <w:t>0.2013 s</w:t>
            </w:r>
          </w:p>
        </w:tc>
      </w:tr>
      <w:tr>
        <w:tc>
          <w:tcPr>
            <w:tcW w:type="dxa" w:w="4680"/>
          </w:tcPr>
          <w:p>
            <w:r>
              <w:rPr>
                <w:sz w:val="17"/>
              </w:rPr>
              <w:t>SG/FV mean wall time</w:t>
            </w:r>
          </w:p>
        </w:tc>
        <w:tc>
          <w:tcPr>
            <w:tcW w:type="dxa" w:w="4680"/>
          </w:tcPr>
          <w:p>
            <w:r>
              <w:rPr>
                <w:sz w:val="17"/>
              </w:rPr>
              <w:t>0.2391 s</w:t>
            </w:r>
          </w:p>
        </w:tc>
      </w:tr>
    </w:tbl>
    <w:p>
      <w:pPr>
        <w:spacing w:after="120"/>
      </w:pPr>
    </w:p>
    <w:p>
      <w:r>
        <w:rPr>
          <w:b/>
        </w:rPr>
        <w:t>Supplementary Table S7.</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S8.</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Value</w:t>
            </w:r>
          </w:p>
        </w:tc>
        <w:tc>
          <w:tcPr>
            <w:tcW w:type="dxa" w:w="3120"/>
          </w:tcPr>
          <w:p>
            <w:r>
              <w:rPr>
                <w:b/>
                <w:sz w:val="17"/>
              </w:rPr>
              <w:t>Unit</w:t>
            </w:r>
          </w:p>
        </w:tc>
      </w:tr>
      <w:tr>
        <w:tc>
          <w:tcPr>
            <w:tcW w:type="dxa" w:w="3120"/>
          </w:tcPr>
          <w:p>
            <w:r>
              <w:rPr>
                <w:sz w:val="17"/>
              </w:rPr>
              <w:t>DeepONet ONNX, batch 1</w:t>
            </w:r>
          </w:p>
        </w:tc>
        <w:tc>
          <w:tcPr>
            <w:tcW w:type="dxa" w:w="3120"/>
          </w:tcPr>
          <w:p>
            <w:r>
              <w:rPr>
                <w:sz w:val="17"/>
              </w:rPr>
              <w:t>0.07165</w:t>
            </w:r>
          </w:p>
        </w:tc>
        <w:tc>
          <w:tcPr>
            <w:tcW w:type="dxa" w:w="3120"/>
          </w:tcPr>
          <w:p>
            <w:r>
              <w:rPr>
                <w:sz w:val="17"/>
              </w:rPr>
              <w:t>ms</w:t>
            </w:r>
          </w:p>
        </w:tc>
      </w:tr>
      <w:tr>
        <w:tc>
          <w:tcPr>
            <w:tcW w:type="dxa" w:w="3120"/>
          </w:tcPr>
          <w:p>
            <w:r>
              <w:rPr>
                <w:sz w:val="17"/>
              </w:rPr>
              <w:t>FNO ONNX, batch 1</w:t>
            </w:r>
          </w:p>
        </w:tc>
        <w:tc>
          <w:tcPr>
            <w:tcW w:type="dxa" w:w="3120"/>
          </w:tcPr>
          <w:p>
            <w:r>
              <w:rPr>
                <w:sz w:val="17"/>
              </w:rPr>
              <w:t>1.038</w:t>
            </w:r>
          </w:p>
        </w:tc>
        <w:tc>
          <w:tcPr>
            <w:tcW w:type="dxa" w:w="3120"/>
          </w:tcPr>
          <w:p>
            <w:r>
              <w:rPr>
                <w:sz w:val="17"/>
              </w:rPr>
              <w:t>ms</w:t>
            </w:r>
          </w:p>
        </w:tc>
      </w:tr>
      <w:tr>
        <w:tc>
          <w:tcPr>
            <w:tcW w:type="dxa" w:w="3120"/>
          </w:tcPr>
          <w:p>
            <w:r>
              <w:rPr>
                <w:sz w:val="17"/>
              </w:rPr>
              <w:t>DeepONet PyTorch, batch 1</w:t>
            </w:r>
          </w:p>
        </w:tc>
        <w:tc>
          <w:tcPr>
            <w:tcW w:type="dxa" w:w="3120"/>
          </w:tcPr>
          <w:p>
            <w:r>
              <w:rPr>
                <w:sz w:val="17"/>
              </w:rPr>
              <w:t>1.342</w:t>
            </w:r>
          </w:p>
        </w:tc>
        <w:tc>
          <w:tcPr>
            <w:tcW w:type="dxa" w:w="3120"/>
          </w:tcPr>
          <w:p>
            <w:r>
              <w:rPr>
                <w:sz w:val="17"/>
              </w:rPr>
              <w:t>ms</w:t>
            </w:r>
          </w:p>
        </w:tc>
      </w:tr>
      <w:tr>
        <w:tc>
          <w:tcPr>
            <w:tcW w:type="dxa" w:w="3120"/>
          </w:tcPr>
          <w:p>
            <w:r>
              <w:rPr>
                <w:sz w:val="17"/>
              </w:rPr>
              <w:t>FNO PyTorch, batch 1</w:t>
            </w:r>
          </w:p>
        </w:tc>
        <w:tc>
          <w:tcPr>
            <w:tcW w:type="dxa" w:w="3120"/>
          </w:tcPr>
          <w:p>
            <w:r>
              <w:rPr>
                <w:sz w:val="17"/>
              </w:rPr>
              <w:t>8.5</w:t>
            </w:r>
          </w:p>
        </w:tc>
        <w:tc>
          <w:tcPr>
            <w:tcW w:type="dxa" w:w="3120"/>
          </w:tcPr>
          <w:p>
            <w:r>
              <w:rPr>
                <w:sz w:val="17"/>
              </w:rPr>
              <w:t>ms</w:t>
            </w:r>
          </w:p>
        </w:tc>
      </w:tr>
      <w:tr>
        <w:tc>
          <w:tcPr>
            <w:tcW w:type="dxa" w:w="3120"/>
          </w:tcPr>
          <w:p>
            <w:r>
              <w:rPr>
                <w:sz w:val="17"/>
              </w:rPr>
              <w:t>DeepONet ONNX, batch 48</w:t>
            </w:r>
          </w:p>
        </w:tc>
        <w:tc>
          <w:tcPr>
            <w:tcW w:type="dxa" w:w="3120"/>
          </w:tcPr>
          <w:p>
            <w:r>
              <w:rPr>
                <w:sz w:val="17"/>
              </w:rPr>
              <w:t>0.7095</w:t>
            </w:r>
          </w:p>
        </w:tc>
        <w:tc>
          <w:tcPr>
            <w:tcW w:type="dxa" w:w="3120"/>
          </w:tcPr>
          <w:p>
            <w:r>
              <w:rPr>
                <w:sz w:val="17"/>
              </w:rPr>
              <w:t>ms</w:t>
            </w:r>
          </w:p>
        </w:tc>
      </w:tr>
      <w:tr>
        <w:tc>
          <w:tcPr>
            <w:tcW w:type="dxa" w:w="3120"/>
          </w:tcPr>
          <w:p>
            <w:r>
              <w:rPr>
                <w:sz w:val="17"/>
              </w:rPr>
              <w:t>FNO ONNX, batch 48</w:t>
            </w:r>
          </w:p>
        </w:tc>
        <w:tc>
          <w:tcPr>
            <w:tcW w:type="dxa" w:w="3120"/>
          </w:tcPr>
          <w:p>
            <w:r>
              <w:rPr>
                <w:sz w:val="17"/>
              </w:rPr>
              <w:t>26.86</w:t>
            </w:r>
          </w:p>
        </w:tc>
        <w:tc>
          <w:tcPr>
            <w:tcW w:type="dxa" w:w="3120"/>
          </w:tcPr>
          <w:p>
            <w:r>
              <w:rPr>
                <w:sz w:val="17"/>
              </w:rPr>
              <w:t>ms</w:t>
            </w:r>
          </w:p>
        </w:tc>
      </w:tr>
      <w:t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c>
          <w:tcPr>
            <w:tcW w:type="dxa" w:w="3120"/>
          </w:tcPr>
          <w:p>
            <w:r>
              <w:rPr>
                <w:sz w:val="17"/>
              </w:rPr>
              <w:t>FNO break-even, median</w:t>
            </w:r>
          </w:p>
        </w:tc>
        <w:tc>
          <w:tcPr>
            <w:tcW w:type="dxa" w:w="3120"/>
          </w:tcPr>
          <w:p>
            <w:r>
              <w:rPr>
                <w:sz w:val="17"/>
              </w:rPr>
              <w:t>837.5</w:t>
            </w:r>
          </w:p>
        </w:tc>
        <w:tc>
          <w:tcPr>
            <w:tcW w:type="dxa" w:w="3120"/>
          </w:tcPr>
          <w:p>
            <w:r>
              <w:rPr>
                <w:sz w:val="17"/>
              </w:rPr>
              <w:t>states</w:t>
            </w:r>
          </w:p>
        </w:tc>
      </w:tr>
      <w:t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S9.</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S10.</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7"/>
              </w:rPr>
              <w:t>State</w:t>
            </w:r>
          </w:p>
        </w:tc>
        <w:tc>
          <w:tcPr>
            <w:tcW w:type="dxa" w:w="1170"/>
          </w:tcPr>
          <w:p>
            <m:oMath xmlns:a="http://schemas.openxmlformats.org/drawingml/2006/main" xmlns:pic="http://schemas.openxmlformats.org/drawingml/2006/picture">
              <m:sSub>
                <m:e>
                  <m:r>
                    <m:t>C</m:t>
                  </m:r>
                </m:e>
                <m:sub>
                  <m:r>
                    <m:t>0</m:t>
                  </m:r>
                </m:sub>
              </m:sSub>
            </m:oMath>
            <w:r>
              <w:rPr>
                <w:b/>
                <w:sz w:val="17"/>
              </w:rPr>
              <w:t xml:space="preserve"> (mol </w:t>
            </w:r>
            <m:oMath xmlns:a="http://schemas.openxmlformats.org/drawingml/2006/main" xmlns:pic="http://schemas.openxmlformats.org/drawingml/2006/picture">
              <m:sSup>
                <m:e>
                  <m:r>
                    <m:t>m</m:t>
                  </m:r>
                </m:e>
                <m:sup>
                  <m:r>
                    <m:rPr>
                      <m:sty m:val="p"/>
                    </m:rPr>
                    <m:t>−</m:t>
                  </m:r>
                  <m:r>
                    <m:t>3</m:t>
                  </m:r>
                </m:sup>
              </m:sSup>
            </m:oMath>
            <w:r>
              <w:rPr>
                <w:b/>
                <w:sz w:val="17"/>
              </w:rPr>
              <w:t>)</w:t>
            </w:r>
          </w:p>
        </w:tc>
        <w:tc>
          <w:tcPr>
            <w:tcW w:type="dxa" w:w="1170"/>
          </w:tcPr>
          <w:p>
            <m:oMath xmlns:a="http://schemas.openxmlformats.org/drawingml/2006/main" xmlns:pic="http://schemas.openxmlformats.org/drawingml/2006/picture">
              <m:r>
                <m:t>R</m:t>
              </m:r>
            </m:oMath>
            <w:r>
              <w:rPr>
                <w:b/>
                <w:sz w:val="17"/>
              </w:rPr>
              <w:t xml:space="preserve"> true (nm)</w:t>
            </w:r>
          </w:p>
        </w:tc>
        <w:tc>
          <w:tcPr>
            <w:tcW w:type="dxa" w:w="1170"/>
          </w:tcPr>
          <w:p>
            <m:oMath xmlns:a="http://schemas.openxmlformats.org/drawingml/2006/main" xmlns:pic="http://schemas.openxmlformats.org/drawingml/2006/picture">
              <m:r>
                <m:t>R</m:t>
              </m:r>
            </m:oMath>
            <w:r>
              <w:rPr>
                <w:b/>
                <w:sz w:val="17"/>
              </w:rPr>
              <w:t xml:space="preserve"> recovered (nm)</w:t>
            </w:r>
          </w:p>
        </w:tc>
        <w:tc>
          <w:tcPr>
            <w:tcW w:type="dxa" w:w="1170"/>
          </w:tcPr>
          <w:p>
            <m:oMath xmlns:a="http://schemas.openxmlformats.org/drawingml/2006/main" xmlns:pic="http://schemas.openxmlformats.org/drawingml/2006/picture">
              <m:r>
                <m:t>R</m:t>
              </m:r>
            </m:oMath>
            <w:r>
              <w:rPr>
                <w:b/>
                <w:sz w:val="17"/>
              </w:rPr>
              <w:t xml:space="preserve"> rel. error</w:t>
            </w:r>
          </w:p>
        </w:tc>
        <w:tc>
          <w:tcPr>
            <w:tcW w:type="dxa" w:w="1170"/>
          </w:tcPr>
          <w:p>
            <m:oMath xmlns:a="http://schemas.openxmlformats.org/drawingml/2006/main" xmlns:pic="http://schemas.openxmlformats.org/drawingml/2006/picture">
              <m:sSub>
                <m:e>
                  <m:r>
                    <m:t>q</m:t>
                  </m:r>
                </m:e>
                <m:sub>
                  <m:r>
                    <m:t>w</m:t>
                  </m:r>
                </m:sub>
              </m:sSub>
            </m:oMath>
            <w:r>
              <w:rPr>
                <w:b/>
                <w:sz w:val="17"/>
              </w:rPr>
              <w:t xml:space="preserve"> true</w:t>
            </w:r>
          </w:p>
        </w:tc>
        <w:tc>
          <w:tcPr>
            <w:tcW w:type="dxa" w:w="1170"/>
          </w:tcPr>
          <w:p>
            <m:oMath xmlns:a="http://schemas.openxmlformats.org/drawingml/2006/main" xmlns:pic="http://schemas.openxmlformats.org/drawingml/2006/picture">
              <m:sSub>
                <m:e>
                  <m:r>
                    <m:t>q</m:t>
                  </m:r>
                </m:e>
                <m:sub>
                  <m:r>
                    <m:t>w</m:t>
                  </m:r>
                </m:sub>
              </m:sSub>
            </m:oMath>
            <w:r>
              <w:rPr>
                <w:b/>
                <w:sz w:val="17"/>
              </w:rPr>
              <w:t xml:space="preserve"> recovered</w:t>
            </w:r>
          </w:p>
        </w:tc>
        <w:tc>
          <w:tcPr>
            <w:tcW w:type="dxa" w:w="1170"/>
          </w:tcPr>
          <w:p>
            <m:oMath xmlns:a="http://schemas.openxmlformats.org/drawingml/2006/main" xmlns:pic="http://schemas.openxmlformats.org/drawingml/2006/picture">
              <m:sSub>
                <m:e>
                  <m:r>
                    <m:t>q</m:t>
                  </m:r>
                </m:e>
                <m:sub>
                  <m:r>
                    <m:t>w</m:t>
                  </m:r>
                </m:sub>
              </m:sSub>
            </m:oMath>
            <w:r>
              <w:rPr>
                <w:b/>
                <w:sz w:val="17"/>
              </w:rPr>
              <w:t xml:space="preserve"> rel. error</w:t>
            </w:r>
          </w:p>
        </w:tc>
      </w:tr>
      <w:t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Split</w:t>
            </w:r>
          </w:p>
        </w:tc>
        <w:tc>
          <w:tcPr>
            <w:tcW w:type="dxa" w:w="3120"/>
          </w:tcPr>
          <w:p>
            <w:r>
              <w:rPr>
                <w:b/>
                <w:sz w:val="17"/>
              </w:rPr>
              <w:t>Count</w:t>
            </w:r>
          </w:p>
        </w:tc>
        <w:tc>
          <w:tcPr>
            <w:tcW w:type="dxa" w:w="3120"/>
          </w:tcPr>
          <w:p>
            <w:r>
              <w:rPr>
                <w:b/>
                <w:sz w:val="17"/>
              </w:rPr>
              <w:t>Sampling</w:t>
            </w:r>
          </w:p>
        </w:tc>
      </w:tr>
      <w:t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c>
          <w:tcPr>
            <w:tcW w:type="dxa" w:w="3120"/>
          </w:tcPr>
          <w:p>
            <w:r>
              <w:rPr>
                <w:sz w:val="17"/>
              </w:rPr>
              <w:t>Total</w:t>
            </w:r>
          </w:p>
        </w:tc>
        <w:tc>
          <w:tcPr>
            <w:tcW w:type="dxa" w:w="3120"/>
          </w:tcPr>
          <w:p>
            <w:r>
              <w:rPr>
                <w:sz w:val="17"/>
              </w:rPr>
              <w:t>240</w:t>
            </w:r>
          </w:p>
        </w:tc>
        <w:tc>
          <w:tcPr>
            <w:tcW w:type="dxa" w:w="3120"/>
          </w:tcPr>
          <w:p/>
        </w:tc>
      </w:tr>
    </w:tbl>
    <w:p>
      <w:pPr>
        <w:spacing w:after="120"/>
      </w:pP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rPr>
          <w:b/>
        </w:rPr>
        <w:t>Supplementary Table S4.</w:t>
      </w:r>
      <w:r>
        <w:t xml:space="preserve"> Model and training hyperparameters.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Setting</w:t>
            </w:r>
          </w:p>
        </w:tc>
        <w:tc>
          <w:tcPr>
            <w:tcW w:type="dxa" w:w="3120"/>
          </w:tcPr>
          <w:p>
            <w:r>
              <w:rPr>
                <w:b/>
                <w:sz w:val="17"/>
              </w:rPr>
              <w:t>DeepONet</w:t>
            </w:r>
          </w:p>
        </w:tc>
        <w:tc>
          <w:tcPr>
            <w:tcW w:type="dxa" w:w="3120"/>
          </w:tcPr>
          <w:p>
            <w:r>
              <w:rPr>
                <w:b/>
                <w:sz w:val="17"/>
              </w:rPr>
              <w:t>FNO</w:t>
            </w:r>
          </w:p>
        </w:tc>
      </w:tr>
      <w:t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c>
          <w:tcPr>
            <w:tcW w:type="dxa" w:w="3120"/>
          </w:tcPr>
          <w:p>
            <w:r>
              <w:rPr>
                <w:sz w:val="17"/>
              </w:rPr>
              <w:t>Spectral layers</w:t>
            </w:r>
          </w:p>
        </w:tc>
        <w:tc>
          <w:tcPr>
            <w:tcW w:type="dxa" w:w="3120"/>
          </w:tcPr>
          <w:p>
            <w:r>
              <w:rPr>
                <w:sz w:val="17"/>
              </w:rPr>
              <w:t>–</w:t>
            </w:r>
          </w:p>
        </w:tc>
        <w:tc>
          <w:tcPr>
            <w:tcW w:type="dxa" w:w="3120"/>
          </w:tcPr>
          <w:p>
            <w:r>
              <w:rPr>
                <w:sz w:val="17"/>
              </w:rPr>
              <w:t>4</w:t>
            </w:r>
          </w:p>
        </w:tc>
      </w:tr>
      <w:t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c>
          <w:tcPr>
            <w:tcW w:type="dxa" w:w="3120"/>
          </w:tcPr>
          <w:p>
            <w:r>
              <w:rPr>
                <w:sz w:val="17"/>
              </w:rPr>
              <w:t>Epochs</w:t>
            </w:r>
          </w:p>
        </w:tc>
        <w:tc>
          <w:tcPr>
            <w:tcW w:type="dxa" w:w="3120"/>
          </w:tcPr>
          <w:p>
            <w:r>
              <w:rPr>
                <w:sz w:val="17"/>
              </w:rPr>
              <w:t>500</w:t>
            </w:r>
          </w:p>
        </w:tc>
        <w:tc>
          <w:tcPr>
            <w:tcW w:type="dxa" w:w="3120"/>
          </w:tcPr>
          <w:p>
            <w:r>
              <w:rPr>
                <w:sz w:val="17"/>
              </w:rPr>
              <w:t>110</w:t>
            </w:r>
          </w:p>
        </w:tc>
      </w:tr>
      <w:tr>
        <w:tc>
          <w:tcPr>
            <w:tcW w:type="dxa" w:w="3120"/>
          </w:tcPr>
          <w:p>
            <w:r>
              <w:rPr>
                <w:sz w:val="17"/>
              </w:rPr>
              <w:t>Batch size</w:t>
            </w:r>
          </w:p>
        </w:tc>
        <w:tc>
          <w:tcPr>
            <w:tcW w:type="dxa" w:w="3120"/>
          </w:tcPr>
          <w:p>
            <w:r>
              <w:rPr>
                <w:sz w:val="17"/>
              </w:rPr>
              <w:t>36</w:t>
            </w:r>
          </w:p>
        </w:tc>
        <w:tc>
          <w:tcPr>
            <w:tcW w:type="dxa" w:w="3120"/>
          </w:tcPr>
          <w:p>
            <w:r>
              <w:rPr>
                <w:sz w:val="17"/>
              </w:rPr>
              <w:t>36</w:t>
            </w:r>
          </w:p>
        </w:tc>
      </w:tr>
      <w:t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c>
          <w:tcPr>
            <w:tcW w:type="dxa" w:w="3120"/>
          </w:tcPr>
          <w:p>
            <w:r>
              <w:rPr>
                <w:sz w:val="17"/>
              </w:rPr>
              <w:t>Seeds</w:t>
            </w:r>
          </w:p>
        </w:tc>
        <w:tc>
          <w:tcPr>
            <w:tcW w:type="dxa" w:w="3120"/>
          </w:tcPr>
          <w:p>
            <w:r>
              <w:rPr>
                <w:sz w:val="17"/>
              </w:rPr>
              <w:t>42, 43, 44</w:t>
            </w:r>
          </w:p>
        </w:tc>
        <w:tc>
          <w:tcPr>
            <w:tcW w:type="dxa" w:w="3120"/>
          </w:tcPr>
          <w:p>
            <w:r>
              <w:rPr>
                <w:sz w:val="17"/>
              </w:rPr>
              <w:t>42, 43, 44</w:t>
            </w:r>
          </w:p>
        </w:tc>
      </w:tr>
      <w:t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t>A separate FNO was trained for 300 epochs (seed 42, 302.2 s) to check whether the 110-epoch budget limited accuracy. The 300-epoch results are reported in Supplementary Table S9.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r>
        <w:rPr>
          <w:rFonts w:ascii="Consolas" w:hAnsi="Consolas"/>
          <w:sz w:val="19"/>
        </w:rPr>
        <w:t>`</w:t>
      </w:r>
    </w:p>
    <w:p>
      <w:r>
        <w:t>Require: parameter box B = [−50,50] mV x [20,200] M x [−0.05,0] x [3,8] nm</w:t>
      </w:r>
    </w:p>
    <w:p>
      <w:r>
        <w:t>Require: grid (nr,nz) = (21,61); seeds {42,43,44}; epochs E</w:t>
      </w:r>
      <w:r>
        <w:rPr>
          <w:vertAlign w:val="subscript"/>
        </w:rPr>
        <w:t>DN</w:t>
      </w:r>
      <w:r>
        <w:t xml:space="preserve"> = 500, E</w:t>
      </w:r>
      <w:r>
        <w:rPr>
          <w:vertAlign w:val="subscript"/>
        </w:rPr>
        <w:t>FNO</w:t>
      </w:r>
      <w:r>
        <w:t xml:space="preserve"> = 110</w:t>
      </w:r>
    </w:p>
    <w:p>
      <w:r>
        <w:t>1: generate 240 states with the SG/FV solver; accept if residual &lt; 1e-9,</w:t>
      </w:r>
    </w:p>
    <w:p>
      <w:r>
        <w:t>fields finite, and c</w:t>
      </w:r>
      <w:r>
        <w:rPr>
          <w:vertAlign w:val="subscript"/>
        </w:rPr>
        <w:t>pm</w:t>
      </w:r>
      <w:r>
        <w:t xml:space="preserve"> &gt; 0; split 144/48/48 (train/interp/OOD)</w:t>
      </w:r>
    </w:p>
    <w:p>
      <w:r>
        <w:t>2: for each backbone in {DeepONet, FNO} and each seed do</w:t>
      </w:r>
    </w:p>
    <w:p>
      <w:r>
        <w:t>3:   normalize mu with the training-split mean and standard deviation</w:t>
      </w:r>
    </w:p>
    <w:p>
      <w:r>
        <w:t>4:   build the exact-reservoir ansatz: psi = V(1-z) + z(1-z) G</w:t>
      </w:r>
      <w:r>
        <w:rPr>
          <w:vertAlign w:val="subscript"/>
        </w:rPr>
        <w:t>psi</w:t>
      </w:r>
      <w:r>
        <w:t>;</w:t>
      </w:r>
    </w:p>
    <w:p>
      <w:r>
        <w:t>s = 2 exp(clip(z(1-z) G</w:t>
      </w:r>
      <w:r>
        <w:rPr>
          <w:vertAlign w:val="subscript"/>
        </w:rPr>
        <w:t>s</w:t>
      </w:r>
      <w:r>
        <w:t>)); rho = z(1-z) G</w:t>
      </w:r>
      <w:r>
        <w:rPr>
          <w:vertAlign w:val="subscript"/>
        </w:rPr>
        <w:t>rho</w:t>
      </w:r>
    </w:p>
    <w:p>
      <w:r>
        <w:t>5:   reconstruct c</w:t>
      </w:r>
      <w:r>
        <w:rPr>
          <w:vertAlign w:val="subscript"/>
        </w:rPr>
        <w:t>pm</w:t>
      </w:r>
      <w:r>
        <w:t xml:space="preserve"> = (sqrt(s</w:t>
      </w:r>
      <w:r>
        <w:rPr>
          <w:vertAlign w:val="superscript"/>
        </w:rPr>
        <w:t>2+rho</w:t>
      </w:r>
      <w:r>
        <w:rPr>
          <w:vertAlign w:val="superscript"/>
        </w:rPr>
        <w:t>2</w:t>
      </w:r>
      <w:r>
        <w:t>) +/- rho)/2  (positivity + exact charge)</w:t>
      </w:r>
    </w:p>
    <w:p>
      <w:r>
        <w:t>6:   for epoch = 1..E do</w:t>
      </w:r>
    </w:p>
    <w:p>
      <w:r>
        <w:t>7:     sample a minibatch of 36 training states</w:t>
      </w:r>
    </w:p>
    <w:p>
      <w:r>
        <w:t>8:     evaluate L</w:t>
      </w:r>
      <w:r>
        <w:rPr>
          <w:vertAlign w:val="subscript"/>
        </w:rPr>
        <w:t>data</w:t>
      </w:r>
      <w:r>
        <w:t xml:space="preserve"> on (psi,s,rho) with per-state scales floored at 0.1 RMS</w:t>
      </w:r>
    </w:p>
    <w:p>
      <w:r>
        <w:t>9:     evaluate L</w:t>
      </w:r>
      <w:r>
        <w:rPr>
          <w:vertAlign w:val="subscript"/>
        </w:rPr>
        <w:t>phys</w:t>
      </w:r>
      <w:r>
        <w:t xml:space="preserve"> with the SG face fluxes on the same grid</w:t>
      </w:r>
    </w:p>
    <w:p>
      <w:r>
        <w:t>10:     back-propagate L = L</w:t>
      </w:r>
      <w:r>
        <w:rPr>
          <w:vertAlign w:val="subscript"/>
        </w:rPr>
        <w:t>data</w:t>
      </w:r>
      <w:r>
        <w:t xml:space="preserve"> + 1e-3 L</w:t>
      </w:r>
      <w:r>
        <w:rPr>
          <w:vertAlign w:val="subscript"/>
        </w:rPr>
        <w:t>phys</w:t>
      </w:r>
      <w:r>
        <w:t xml:space="preserve"> with AdamW and cosine decay</w:t>
      </w:r>
    </w:p>
    <w:p>
      <w:r>
        <w:t>11:   end for</w:t>
      </w:r>
    </w:p>
    <w:p>
      <w:r>
        <w:t>12:   select the epoch with the lowest validation loss; export to ONNX</w:t>
      </w:r>
    </w:p>
    <w:p>
      <w:r>
        <w:t>13:   report global relative L2 errors and the SG-post-processed current</w:t>
      </w:r>
    </w:p>
    <w:p>
      <w:r>
        <w:t>14: end for</w:t>
      </w:r>
    </w:p>
    <w:p>
      <w:r>
        <w:t>Ensure: released graph web</w:t>
      </w:r>
      <w:r>
        <w:rPr>
          <w:vertAlign w:val="subscript"/>
        </w:rPr>
        <w:t>simulator</w:t>
      </w:r>
      <w:r>
        <w:t>/models/deeponet</w:t>
      </w:r>
      <w:r>
        <w:rPr>
          <w:vertAlign w:val="subscript"/>
        </w:rPr>
        <w:t>reparam</w:t>
      </w:r>
      <w:r>
        <w:rPr>
          <w:vertAlign w:val="subscript"/>
        </w:rPr>
        <w:t>seed42</w:t>
      </w:r>
      <w:r>
        <w:t>.onnx</w:t>
      </w:r>
    </w:p>
    <w:p>
      <w:r>
        <w:rPr>
          <w:rFonts w:ascii="Consolas" w:hAnsi="Consolas"/>
          <w:sz w:val="19"/>
        </w:rPr>
        <w:t>`</w:t>
      </w:r>
    </w:p>
    <w:p>
      <w:r>
        <w:rPr>
          <w:b/>
        </w:rPr>
        <w:t>Runtime and dependency pinning.</w:t>
      </w:r>
      <w:r>
        <w:t xml:space="preserve"> Reference results were produced on an Apple M1 (arm64) with Python 3.14.7, NumPy 2.3.3, SciPy 1.16.2, PyTorch 2.9.1, ONNX 1.19.1, ONNX Runtime 1.23.0, Matplotlib 3.10.6, and Gradio 5.49.1,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reproducibility/requirements-lock.txt</w:t>
      </w:r>
      <w:r>
        <w:t>;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Sum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t>s</m:t>
        </m:r>
      </m:oMath>
      <w:r>
        <w:t xml:space="preserve">, so the reconstructed sum is positive and equals </w:t>
      </w:r>
      <m:oMath xmlns:a="http://schemas.openxmlformats.org/drawingml/2006/main" xmlns:pic="http://schemas.openxmlformats.org/drawingml/2006/picture">
        <m:r>
          <m:t>s</m:t>
        </m:r>
      </m:oMath>
      <w:r>
        <w:t xml:space="preserve"> exactly.</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The empirical effect is an 8.63-fold (DeepONet) and 10.29-fold (FNO) reduction in interp-test net-charge error.</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Selected additional values:</w:t>
      </w: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t xml:space="preserve">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S11, S12 report the net-charge error conditioned on the surface-charge magnitude and on the Debye ratio. The values are the means over three seeds for the interpolation split.</w:t>
      </w:r>
    </w:p>
    <w:p>
      <w:r>
        <w:rPr>
          <w:b/>
        </w:rPr>
        <w:t>Supplementary Table S11.</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S12.</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Five held-out interpolation states: indices 175, 147, 154, 172, and 161. They span </w:t>
      </w:r>
      <m:oMath xmlns:a="http://schemas.openxmlformats.org/drawingml/2006/main" xmlns:pic="http://schemas.openxmlformats.org/drawingml/2006/picture">
        <m:sSub>
          <m:e>
            <m:r>
              <m:t>C</m:t>
            </m:r>
          </m:e>
          <m:sub>
            <m:r>
              <m:t>0</m:t>
            </m:r>
          </m:sub>
        </m:sSub>
        <m:r>
          <m:rPr>
            <m:sty m:val="p"/>
          </m:rPr>
          <m:t>=</m:t>
        </m:r>
        <m:r>
          <m:t>27.2</m:t>
        </m:r>
      </m:oMath>
      <w:r>
        <w:t>–</w:t>
      </w:r>
      <m:oMath xmlns:a="http://schemas.openxmlformats.org/drawingml/2006/main" xmlns:pic="http://schemas.openxmlformats.org/drawingml/2006/picture">
        <m:r>
          <m:t>140.2</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3.362</m:t>
        </m:r>
      </m:oMath>
      <w:r>
        <w:t>–</w:t>
      </w:r>
      <m:oMath xmlns:a="http://schemas.openxmlformats.org/drawingml/2006/main" xmlns:pic="http://schemas.openxmlformats.org/drawingml/2006/picture">
        <m:r>
          <m:t>7.276</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0.04557</m:t>
        </m:r>
      </m:oMath>
      <w:r>
        <w:t xml:space="preserve"> to </w:t>
      </w:r>
      <m:oMath xmlns:a="http://schemas.openxmlformats.org/drawingml/2006/main" xmlns:pic="http://schemas.openxmlformats.org/drawingml/2006/picture">
        <m:r>
          <m:rPr>
            <m:sty m:val="p"/>
          </m:rPr>
          <m:t>−</m:t>
        </m:r>
        <m:r>
          <m:t>0.00206</m:t>
        </m:r>
      </m:oMath>
      <w:r>
        <w:t>.</w:t>
      </w:r>
    </w:p>
    <w:p>
      <w:r>
        <w:rPr>
          <w:b/>
        </w:rPr>
        <w:t>Measurement.</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multiplied by </w:t>
      </w:r>
      <m:oMath xmlns:a="http://schemas.openxmlformats.org/drawingml/2006/main" xmlns:pic="http://schemas.openxmlformats.org/drawingml/2006/picture">
        <m:r>
          <m:t>1</m:t>
        </m:r>
        <m:r>
          <m:rPr>
            <m:sty m:val="p"/>
          </m:rPr>
          <m:t>+</m:t>
        </m:r>
        <m:r>
          <m:t>0.01</m:t>
        </m:r>
        <m:r>
          <m:t> </m:t>
        </m:r>
        <m:r>
          <m:rPr>
            <m:scr m:val="script"/>
            <m:sty m:val="p"/>
          </m:rPr>
          <m:t>N</m:t>
        </m:r>
        <m:r>
          <m:rPr>
            <m:sty m:val="p"/>
          </m:rPr>
          <m:t>(</m:t>
        </m:r>
        <m:r>
          <m:t>0</m:t>
        </m:r>
        <m:r>
          <m:rPr>
            <m:sty m:val="p"/>
          </m:rPr>
          <m:t>,</m:t>
        </m:r>
        <m:r>
          <m:t>1</m:t>
        </m:r>
        <m:r>
          <m:rPr>
            <m:sty m:val="p"/>
          </m:rPr>
          <m:t>)</m:t>
        </m:r>
      </m:oMath>
      <w:r>
        <w:t xml:space="preserve"> with a fixed seed per state.</w:t>
      </w:r>
    </w:p>
    <w:p>
      <w:r>
        <w:rPr>
          <w:b/>
        </w:rPr>
        <w:t>Search.</w:t>
      </w:r>
      <w:r>
        <w:t xml:space="preserve">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in the dataset box (</w:t>
      </w:r>
      <m:oMath xmlns:a="http://schemas.openxmlformats.org/drawingml/2006/main" xmlns:pic="http://schemas.openxmlformats.org/drawingml/2006/picture">
        <m:sSub>
          <m:e>
            <m:r>
              <m:t>q</m:t>
            </m:r>
          </m:e>
          <m:sub>
            <m:r>
              <m:t>w</m:t>
            </m:r>
          </m:sub>
        </m:sSub>
        <m:r>
          <m:rPr>
            <m:sty m:val="p"/>
          </m:rPr>
          <m:t>∈</m:t>
        </m:r>
        <m:r>
          <m:rPr>
            <m:sty m:val="p"/>
          </m:rPr>
          <m:t>[</m:t>
        </m:r>
        <m:r>
          <m:rPr>
            <m:sty m:val="p"/>
          </m:rPr>
          <m:t>−</m:t>
        </m:r>
        <m:r>
          <m:t>0.09815884117319931</m:t>
        </m:r>
        <m:r>
          <m:rPr>
            <m:sty m:val="p"/>
          </m:rPr>
          <m:t>,</m:t>
        </m:r>
        <m:r>
          <m:t>0</m:t>
        </m:r>
        <m:r>
          <m:rPr>
            <m:sty m:val="p"/>
          </m:rPr>
          <m:t>]</m:t>
        </m:r>
      </m:oMath>
      <w:r>
        <w:t xml:space="preserve">, </w:t>
      </w:r>
      <m:oMath xmlns:a="http://schemas.openxmlformats.org/drawingml/2006/main" xmlns:pic="http://schemas.openxmlformats.org/drawingml/2006/picture">
        <m:r>
          <m:t>R</m:t>
        </m:r>
        <m:r>
          <m:rPr>
            <m:sty m:val="p"/>
          </m:rPr>
          <m:t>∈</m:t>
        </m:r>
        <m:r>
          <m:rPr>
            <m:sty m:val="p"/>
          </m:rPr>
          <m:t>[</m:t>
        </m:r>
        <m:r>
          <m:t>2.0265975267620897</m:t>
        </m:r>
        <m:r>
          <m:rPr>
            <m:sty m:val="p"/>
          </m:rPr>
          <m:t>,</m:t>
        </m:r>
        <m:r>
          <m:t>8</m:t>
        </m:r>
        <m:r>
          <m:rPr>
            <m:sty m:val="p"/>
          </m:rPr>
          <m:t>]</m:t>
        </m:r>
      </m:oMath>
      <w:r>
        <w:t xml:space="preserve">), evaluated at the five biases (2000 forward evaluations per state). The best three candidates are refined with Nelder–Mead (bounded by clipping, 400 iterations, objective tolerance </w:t>
      </w:r>
      <m:oMath xmlns:a="http://schemas.openxmlformats.org/drawingml/2006/main" xmlns:pic="http://schemas.openxmlformats.org/drawingml/2006/picture">
        <m:sSup>
          <m:e>
            <m:r>
              <m:t>10</m:t>
            </m:r>
          </m:e>
          <m:sup>
            <m:r>
              <m:rPr>
                <m:sty m:val="p"/>
              </m:rPr>
              <m:t>−</m:t>
            </m:r>
            <m:r>
              <m:t>12</m:t>
            </m:r>
          </m:sup>
        </m:sSup>
      </m:oMath>
      <w:r>
        <w:t>).</w:t>
      </w:r>
    </w:p>
    <w:p>
      <w:r>
        <w:rPr>
          <w:b/>
        </w:rPr>
        <w:t>Identifiability diagnostic.</w:t>
      </w:r>
      <w:r>
        <w:t xml:space="preserve"> At the recovered radius, the cost is profiled over 41 values of </w:t>
      </w:r>
      <m:oMath xmlns:a="http://schemas.openxmlformats.org/drawingml/2006/main" xmlns:pic="http://schemas.openxmlformats.org/drawingml/2006/picture">
        <m:sSub>
          <m:e>
            <m:r>
              <m:t>q</m:t>
            </m:r>
          </m:e>
          <m:sub>
            <m:r>
              <m:t>w</m:t>
            </m:r>
          </m:sub>
        </m:sSub>
      </m:oMath>
      <w:r>
        <w:t xml:space="preserve"> spanning the prior. The 1%-noise floor is </w:t>
      </w:r>
      <m:oMath xmlns:a="http://schemas.openxmlformats.org/drawingml/2006/main" xmlns:pic="http://schemas.openxmlformats.org/drawingml/2006/picture">
        <m:r>
          <m:rPr>
            <m:sty m:val="p"/>
          </m:rPr>
          <m:t>Δ</m:t>
        </m:r>
        <m:r>
          <m:rPr>
            <m:sty m:val="p"/>
          </m:rPr>
          <m:t>c</m:t>
        </m:r>
        <m:r>
          <m:rPr>
            <m:sty m:val="p"/>
          </m:rPr>
          <m:t>o</m:t>
        </m:r>
        <m:r>
          <m:rPr>
            <m:sty m:val="p"/>
          </m:rPr>
          <m:t>s</m:t>
        </m:r>
        <m:r>
          <m:rPr>
            <m:sty m:val="p"/>
          </m:rPr>
          <m:t>t</m:t>
        </m:r>
        <m:r>
          <m:rPr>
            <m:sty m:val="p"/>
          </m:rPr>
          <m:t>=</m:t>
        </m:r>
        <m:sSup>
          <m:e>
            <m:r>
              <m:t>10</m:t>
            </m:r>
          </m:e>
          <m:sup>
            <m:r>
              <m:rPr>
                <m:sty m:val="p"/>
              </m:rPr>
              <m:t>−</m:t>
            </m:r>
            <m:r>
              <m:t>4</m:t>
            </m:r>
          </m:sup>
        </m:sSup>
      </m:oMath>
      <w:r>
        <w:t xml:space="preserve">; the set of </w:t>
      </w:r>
      <m:oMath xmlns:a="http://schemas.openxmlformats.org/drawingml/2006/main" xmlns:pic="http://schemas.openxmlformats.org/drawingml/2006/picture">
        <m:sSub>
          <m:e>
            <m:r>
              <m:t>q</m:t>
            </m:r>
          </m:e>
          <m:sub>
            <m:r>
              <m:t>w</m:t>
            </m:r>
          </m:sub>
        </m:sSub>
      </m:oMath>
      <w:r>
        <w:t xml:space="preserve"> values within that floor spans the full prior width (0.09816) for all five states. The maximum relative current change across the prior is 0.0009625.</w:t>
      </w:r>
    </w:p>
    <w:p>
      <w:r>
        <w:rPr>
          <w:b/>
        </w:rPr>
        <w:t>Interpretation.</w:t>
      </w:r>
      <w:r>
        <w:t xml:space="preserve"> Radius is identifiable because the current magnitude and slope constrain the pore cross-section. Fixed charge is not identifiable because the total conductance of a symmetric electrolyte with nearly equal diffusivities is almost invariant to Donnan polarization. This is a property of the measurement, not of the operator. A charge-sensitive observable would break the degeneracy.</w:t>
      </w:r>
    </w:p>
    <w:p>
      <w:r>
        <w:rPr>
          <w:b/>
        </w:rPr>
        <w:t>Results.</w:t>
      </w:r>
      <w:r>
        <w:t xml:space="preserve"> See Supplementary Table S10 and </w:t>
      </w:r>
      <w:r>
        <w:rPr>
          <w:rFonts w:ascii="Consolas" w:hAnsi="Consolas"/>
          <w:sz w:val="19"/>
        </w:rPr>
        <w:t>results/tables/table6_inverse_parameter_recovery.csv</w:t>
      </w:r>
      <w:r>
        <w:t xml:space="preserve">. Median radius error 0.004574; median </w:t>
      </w:r>
      <m:oMath xmlns:a="http://schemas.openxmlformats.org/drawingml/2006/main" xmlns:pic="http://schemas.openxmlformats.org/drawingml/2006/picture">
        <m:sSub>
          <m:e>
            <m:r>
              <m:t>q</m:t>
            </m:r>
          </m:e>
          <m:sub>
            <m:r>
              <m:t>w</m:t>
            </m:r>
          </m:sub>
        </m:sSub>
      </m:oMath>
      <w:r>
        <w:t xml:space="preserve"> error 1.154; median surface-charge-density error 1.146. Grid wall time per state 0.1253 s; equivalent SG/FV time 402.6 s; speed-up 3214.</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w:t>
      </w: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rPr>
          <w:b/>
        </w:rPr>
        <w:t>Supplementary Table S15.</w:t>
      </w:r>
      <w:r>
        <w:t xml:space="preserve"> Multi-protocol inverse identifiability. For 15 held-out states, 1\%/2\%/5\%-proxy Gaussian noise levels (implemented as 0.2\%, 1\%, 2\% relative noise), three measurement protocols: single-salt I–V (one salt), multi-salt I–V (three salts, 10–100 mol </w:t>
      </w:r>
      <m:oMath xmlns:a="http://schemas.openxmlformats.org/drawingml/2006/main" xmlns:pic="http://schemas.openxmlformats.org/drawingml/2006/picture">
        <m:sSup>
          <m:e>
            <m:r>
              <m:t>m</m:t>
            </m:r>
          </m:e>
          <m:sup>
            <m:r>
              <m:rPr>
                <m:sty m:val="p"/>
              </m:rPr>
              <m:t>−</m:t>
            </m:r>
            <m:r>
              <m:t>3</m:t>
            </m:r>
          </m:sup>
        </m:sSup>
      </m:oMath>
      <w:r>
        <w:t xml:space="preserve">), and the dual protocol that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I–V data. Recovery uses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Errors are medians over the 15 states.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Protocol</w:t>
            </w:r>
          </w:p>
        </w:tc>
        <w:tc>
          <w:tcPr>
            <w:tcW w:type="dxa" w:w="1560"/>
          </w:tcPr>
          <w:p>
            <w:r>
              <w:rPr>
                <w:b/>
                <w:sz w:val="17"/>
              </w:rPr>
              <w:t>Noise</w:t>
            </w:r>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560"/>
          </w:tcPr>
          <w:p>
            <m:oMath xmlns:a="http://schemas.openxmlformats.org/drawingml/2006/main" xmlns:pic="http://schemas.openxmlformats.org/drawingml/2006/picture">
              <m:sSub>
                <m:e>
                  <m:r>
                    <m:t>q</m:t>
                  </m:r>
                </m:e>
                <m:sub>
                  <m:r>
                    <m:t>w</m:t>
                  </m:r>
                </m:sub>
              </m:sSub>
            </m:oMath>
            <w:r>
              <w:rPr>
                <w:b/>
                <w:sz w:val="17"/>
              </w:rPr>
              <w:t xml:space="preserve"> identifiable (</w:t>
            </w:r>
            <m:oMath xmlns:a="http://schemas.openxmlformats.org/drawingml/2006/main" xmlns:pic="http://schemas.openxmlformats.org/drawingml/2006/picture">
              <m:r>
                <m:rPr>
                  <m:sty m:val="p"/>
                </m:rPr>
                <m:t>&lt;</m:t>
              </m:r>
            </m:oMath>
            <w:r>
              <w:rPr>
                <w:b/>
                <w:sz w:val="17"/>
              </w:rPr>
              <w:t>10\%)</w:t>
            </w:r>
          </w:p>
        </w:tc>
        <w:tc>
          <w:tcPr>
            <w:tcW w:type="dxa" w:w="1560"/>
          </w:tcPr>
          <w:p>
            <m:oMath xmlns:a="http://schemas.openxmlformats.org/drawingml/2006/main" xmlns:pic="http://schemas.openxmlformats.org/drawingml/2006/picture">
              <m:r>
                <m:t>R</m:t>
              </m:r>
            </m:oMath>
            <w:r>
              <w:rPr>
                <w:b/>
                <w:sz w:val="17"/>
              </w:rPr>
              <w:t xml:space="preserve"> recovered (</w:t>
            </w:r>
            <m:oMath xmlns:a="http://schemas.openxmlformats.org/drawingml/2006/main" xmlns:pic="http://schemas.openxmlformats.org/drawingml/2006/picture">
              <m:r>
                <m:rPr>
                  <m:sty m:val="p"/>
                </m:rPr>
                <m:t>&lt;</m:t>
              </m:r>
            </m:oMath>
            <w:r>
              <w:rPr>
                <w:b/>
                <w:sz w:val="17"/>
              </w:rPr>
              <w:t>2\%)</w:t>
            </w:r>
          </w:p>
        </w:tc>
      </w:tr>
      <w:tr>
        <w:tc>
          <w:tcPr>
            <w:tcW w:type="dxa" w:w="1560"/>
          </w:tcPr>
          <w:p>
            <w:r>
              <w:rPr>
                <w:sz w:val="17"/>
              </w:rPr>
              <w:t>single-salt I–V</w:t>
            </w:r>
          </w:p>
        </w:tc>
        <w:tc>
          <w:tcPr>
            <w:tcW w:type="dxa" w:w="1560"/>
          </w:tcPr>
          <w:p>
            <w:r>
              <w:rPr>
                <w:sz w:val="17"/>
              </w:rPr>
              <w:t>0.002</w:t>
            </w:r>
          </w:p>
        </w:tc>
        <w:tc>
          <w:tcPr>
            <w:tcW w:type="dxa" w:w="1560"/>
          </w:tcPr>
          <w:p>
            <w:r>
              <w:rPr>
                <w:sz w:val="17"/>
              </w:rPr>
              <w:t>1.0000</w:t>
            </w:r>
          </w:p>
        </w:tc>
        <w:tc>
          <w:tcPr>
            <w:tcW w:type="dxa" w:w="1560"/>
          </w:tcPr>
          <w:p>
            <w:r>
              <w:rPr>
                <w:sz w:val="17"/>
              </w:rPr>
              <w:t>0.0005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0.010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0.020</w:t>
            </w:r>
          </w:p>
        </w:tc>
        <w:tc>
          <w:tcPr>
            <w:tcW w:type="dxa" w:w="1560"/>
          </w:tcPr>
          <w:p>
            <w:r>
              <w:rPr>
                <w:sz w:val="17"/>
              </w:rPr>
              <w:t>0.7703</w:t>
            </w:r>
          </w:p>
        </w:tc>
        <w:tc>
          <w:tcPr>
            <w:tcW w:type="dxa" w:w="1560"/>
          </w:tcPr>
          <w:p>
            <w:r>
              <w:rPr>
                <w:sz w:val="17"/>
              </w:rPr>
              <w:t>0.0065</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0.002</w:t>
            </w:r>
          </w:p>
        </w:tc>
        <w:tc>
          <w:tcPr>
            <w:tcW w:type="dxa" w:w="1560"/>
          </w:tcPr>
          <w:p>
            <w:r>
              <w:rPr>
                <w:sz w:val="17"/>
              </w:rPr>
              <w:t>0.8239</w:t>
            </w:r>
          </w:p>
        </w:tc>
        <w:tc>
          <w:tcPr>
            <w:tcW w:type="dxa" w:w="1560"/>
          </w:tcPr>
          <w:p>
            <w:r>
              <w:rPr>
                <w:sz w:val="17"/>
              </w:rPr>
              <w:t>0.0003</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0.010</w:t>
            </w:r>
          </w:p>
        </w:tc>
        <w:tc>
          <w:tcPr>
            <w:tcW w:type="dxa" w:w="1560"/>
          </w:tcPr>
          <w:p>
            <w:r>
              <w:rPr>
                <w:sz w:val="17"/>
              </w:rPr>
              <w:t>1.0000</w:t>
            </w:r>
          </w:p>
        </w:tc>
        <w:tc>
          <w:tcPr>
            <w:tcW w:type="dxa" w:w="1560"/>
          </w:tcPr>
          <w:p>
            <w:r>
              <w:rPr>
                <w:sz w:val="17"/>
              </w:rPr>
              <w:t>0.0011</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0.020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dual (I–V + selectivity)</w:t>
            </w:r>
          </w:p>
        </w:tc>
        <w:tc>
          <w:tcPr>
            <w:tcW w:type="dxa" w:w="1560"/>
          </w:tcPr>
          <w:p>
            <w:r>
              <w:rPr>
                <w:sz w:val="17"/>
              </w:rPr>
              <w:t>0.002</w:t>
            </w:r>
          </w:p>
        </w:tc>
        <w:tc>
          <w:tcPr>
            <w:tcW w:type="dxa" w:w="1560"/>
          </w:tcPr>
          <w:p>
            <w:r>
              <w:rPr>
                <w:sz w:val="17"/>
              </w:rPr>
              <w:t>0.0005</w:t>
            </w:r>
          </w:p>
        </w:tc>
        <w:tc>
          <w:tcPr>
            <w:tcW w:type="dxa" w:w="1560"/>
          </w:tcPr>
          <w:p>
            <w:r>
              <w:rPr>
                <w:sz w:val="17"/>
              </w:rPr>
              <w:t>0.0003</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0.010</w:t>
            </w:r>
          </w:p>
        </w:tc>
        <w:tc>
          <w:tcPr>
            <w:tcW w:type="dxa" w:w="1560"/>
          </w:tcPr>
          <w:p>
            <w:r>
              <w:rPr>
                <w:sz w:val="17"/>
              </w:rPr>
              <w:t>0.0024</w:t>
            </w:r>
          </w:p>
        </w:tc>
        <w:tc>
          <w:tcPr>
            <w:tcW w:type="dxa" w:w="1560"/>
          </w:tcPr>
          <w:p>
            <w:r>
              <w:rPr>
                <w:sz w:val="17"/>
              </w:rPr>
              <w:t>0.0008</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0.020</w:t>
            </w:r>
          </w:p>
        </w:tc>
        <w:tc>
          <w:tcPr>
            <w:tcW w:type="dxa" w:w="1560"/>
          </w:tcPr>
          <w:p>
            <w:r>
              <w:rPr>
                <w:sz w:val="17"/>
              </w:rPr>
              <w:t>0.0028</w:t>
            </w:r>
          </w:p>
        </w:tc>
        <w:tc>
          <w:tcPr>
            <w:tcW w:type="dxa" w:w="1560"/>
          </w:tcPr>
          <w:p>
            <w:r>
              <w:rPr>
                <w:sz w:val="17"/>
              </w:rPr>
              <w:t>0.0018</w:t>
            </w:r>
          </w:p>
        </w:tc>
        <w:tc>
          <w:tcPr>
            <w:tcW w:type="dxa" w:w="1560"/>
          </w:tcPr>
          <w:p>
            <w:r>
              <w:rPr>
                <w:sz w:val="17"/>
              </w:rPr>
              <w:t>yes</w:t>
            </w:r>
          </w:p>
        </w:tc>
        <w:tc>
          <w:tcPr>
            <w:tcW w:type="dxa" w:w="1560"/>
          </w:tcPr>
          <w:p>
            <w:r>
              <w:rPr>
                <w:sz w:val="17"/>
              </w:rPr>
              <w:t>yes</w:t>
            </w:r>
          </w:p>
        </w:tc>
      </w:tr>
    </w:tbl>
    <w:p>
      <w:pPr>
        <w:spacing w:after="120"/>
      </w:pPr>
    </w:p>
    <w:p>
      <w:r>
        <w:t xml:space="preserve">The Fisher-information plane (Figure 3F) spans </w:t>
      </w:r>
      <m:oMath xmlns:a="http://schemas.openxmlformats.org/drawingml/2006/main" xmlns:pic="http://schemas.openxmlformats.org/drawingml/2006/picture">
        <m:sSub>
          <m:e>
            <m:r>
              <m:t>λ</m:t>
            </m:r>
          </m:e>
          <m:sub>
            <m:r>
              <m:t>D</m:t>
            </m:r>
          </m:sub>
        </m:sSub>
        <m:r>
          <m:rPr>
            <m:sty m:val="p"/>
          </m:rPr>
          <m:t>/</m:t>
        </m:r>
        <m:r>
          <m:t>R</m:t>
        </m:r>
        <m:r>
          <m:rPr>
            <m:sty m:val="p"/>
          </m:rPr>
          <m:t>∈</m:t>
        </m:r>
        <m:r>
          <m:rPr>
            <m:sty m:val="p"/>
          </m:rPr>
          <m:t>[</m:t>
        </m:r>
        <m:r>
          <m:t>0.05</m:t>
        </m:r>
        <m:r>
          <m:rPr>
            <m:sty m:val="p"/>
          </m:rPr>
          <m:t>,</m:t>
        </m:r>
        <m:r>
          <m:t>0.55</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and </w:t>
      </w:r>
      <m:oMath xmlns:a="http://schemas.openxmlformats.org/drawingml/2006/main" xmlns:pic="http://schemas.openxmlformats.org/drawingml/2006/picture">
        <m:r>
          <m:rPr>
            <m:sty m:val="p"/>
          </m:rPr>
          <m:t>|</m:t>
        </m:r>
        <m:sSub>
          <m:e>
            <m:r>
              <m:t>q</m:t>
            </m:r>
          </m:e>
          <m:sub>
            <m:r>
              <m:t>w</m:t>
            </m:r>
          </m:sub>
        </m:sSub>
        <m:r>
          <m:rPr>
            <m:sty m:val="p"/>
          </m:rPr>
          <m:t>|</m:t>
        </m:r>
        <m:r>
          <m:rPr>
            <m:sty m:val="p"/>
          </m:rPr>
          <m:t>∈</m:t>
        </m:r>
        <m:r>
          <m:rPr>
            <m:sty m:val="p"/>
          </m:rPr>
          <m:t>[</m:t>
        </m:r>
        <m:r>
          <m:t>0.005</m:t>
        </m:r>
        <m:r>
          <m:rPr>
            <m:sty m:val="p"/>
          </m:rPr>
          <m:t>,</m:t>
        </m:r>
        <m:r>
          <m:t>0.05</m:t>
        </m:r>
        <m:r>
          <m:rPr>
            <m:sty m:val="p"/>
          </m:rPr>
          <m:t>]</m:t>
        </m:r>
      </m:oMath>
      <w:r>
        <w:t xml:space="preserve">.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2.029</m:t>
        </m:r>
      </m:oMath>
      <w:r>
        <w:t xml:space="preserve"> (range 2.028–2.032, i.e.\ the current scales as the pore area) while the 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1.9</m:t>
        </m:r>
        <m:r>
          <m:rPr>
            <m:sty m:val="p"/>
          </m:rPr>
          <m:t>×</m:t>
        </m:r>
        <m:sSup>
          <m:e>
            <m:r>
              <m:t>10</m:t>
            </m:r>
          </m:e>
          <m:sup>
            <m:r>
              <m:rPr>
                <m:sty m:val="p"/>
              </m:rPr>
              <m:t>−</m:t>
            </m:r>
            <m:r>
              <m:t>4</m:t>
            </m:r>
          </m:sup>
        </m:sSup>
      </m:oMath>
      <w:r>
        <w:t xml:space="preserve"> (maximum </w:t>
      </w:r>
      <m:oMath xmlns:a="http://schemas.openxmlformats.org/drawingml/2006/main" xmlns:pic="http://schemas.openxmlformats.org/drawingml/2006/picture">
        <m:r>
          <m:t>1.6</m:t>
        </m:r>
        <m:r>
          <m:rPr>
            <m:sty m:val="p"/>
          </m:rPr>
          <m:t>×</m:t>
        </m:r>
        <m:sSup>
          <m:e>
            <m:r>
              <m:t>10</m:t>
            </m:r>
          </m:e>
          <m:sup>
            <m:r>
              <m:rPr>
                <m:sty m:val="p"/>
              </m:rPr>
              <m:t>−</m:t>
            </m:r>
            <m:r>
              <m:t>3</m:t>
            </m:r>
          </m:sup>
        </m:sSup>
      </m:oMath>
      <w:r>
        <w:t xml:space="preserve">), giving a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for every operating point, which is why conductance-only inversion cannot recover </w:t>
      </w:r>
      <m:oMath xmlns:a="http://schemas.openxmlformats.org/drawingml/2006/main" xmlns:pic="http://schemas.openxmlformats.org/drawingml/2006/picture">
        <m:sSub>
          <m:e>
            <m:r>
              <m:t>q</m:t>
            </m:r>
          </m:e>
          <m:sub>
            <m:r>
              <m:t>w</m:t>
            </m:r>
          </m:sub>
        </m:sSub>
      </m:oMath>
      <w:r>
        <w:t xml:space="preserve">. The single-salt conductance sensitivity to </w:t>
      </w:r>
      <m:oMath xmlns:a="http://schemas.openxmlformats.org/drawingml/2006/main" xmlns:pic="http://schemas.openxmlformats.org/drawingml/2006/picture">
        <m:sSub>
          <m:e>
            <m:r>
              <m:t>q</m:t>
            </m:r>
          </m:e>
          <m:sub>
            <m:r>
              <m:t>w</m:t>
            </m:r>
          </m:sub>
        </m:sSub>
      </m:oMath>
      <w:r>
        <w:t xml:space="preserve"> does grow at low salinity (relative spread of </w:t>
      </w:r>
      <m:oMath xmlns:a="http://schemas.openxmlformats.org/drawingml/2006/main" xmlns:pic="http://schemas.openxmlformats.org/drawingml/2006/picture">
        <m:r>
          <m:rPr>
            <m:sty m:val="p"/>
          </m:rPr>
          <m:t>|</m:t>
        </m:r>
        <m:r>
          <m:t>I</m:t>
        </m:r>
        <m:r>
          <m:rPr>
            <m:sty m:val="p"/>
          </m:rPr>
          <m:t>|</m:t>
        </m:r>
      </m:oMath>
      <w:r>
        <w:t xml:space="preserve"> over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but remains below the measurement noise, so multi-salt I–V alone is still insufficient; the independent near-wall selectivity observable is what breaks the degeneracy.</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Stage-11 reviewer-upgrade experiments</w:t>
      </w:r>
    </w:p>
    <w:p>
      <w:r>
        <w:t xml:space="preserve">This section documents the three Stage-11 studies.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w:t>
      </w:r>
    </w:p>
    <w:p>
      <w:r>
        <w:rPr>
          <w:b/>
        </w:rPr>
        <w:t>Supplementary Table S18.</w:t>
      </w:r>
      <w:r>
        <w:t xml:space="preserve"> Exact SG/FV versus neural-operator Fisher and Jacobian validation. Centered finite differences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are compared with the operator Jacobian over 15 held-out states and three protocols (four non-zero biases; salts 10, 30, and 100 mol </w:t>
      </w:r>
      <m:oMath xmlns:a="http://schemas.openxmlformats.org/drawingml/2006/main" xmlns:pic="http://schemas.openxmlformats.org/drawingml/2006/picture">
        <m:sSup>
          <m:e>
            <m:r>
              <m:t>m</m:t>
            </m:r>
          </m:e>
          <m:sup>
            <m:r>
              <m:rPr>
                <m:sty m:val="p"/>
              </m:rPr>
              <m:t>−</m:t>
            </m:r>
            <m:r>
              <m:t>3</m:t>
            </m:r>
          </m:sup>
        </m:sSup>
      </m:oMath>
      <w:r>
        <w:t xml:space="preserve"> for the multi-salt and dual protocols).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1.99997</w:t>
            </w:r>
          </w:p>
        </w:tc>
      </w:tr>
      <w:t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1.5</m:t>
              </m:r>
              <m:r>
                <m:rPr>
                  <m:sty m:val="p"/>
                </m:rPr>
                <m:t>×</m:t>
              </m:r>
              <m:sSup>
                <m:e>
                  <m:r>
                    <m:t>10</m:t>
                  </m:r>
                </m:e>
                <m:sup>
                  <m:r>
                    <m:rPr>
                      <m:sty m:val="p"/>
                    </m:rPr>
                    <m:t>−</m:t>
                  </m:r>
                  <m:r>
                    <m:t>4</m:t>
                  </m:r>
                </m:sup>
              </m:sSup>
            </m:oMath>
          </w:p>
        </w:tc>
        <w:tc>
          <w:tcPr>
            <w:tcW w:type="dxa" w:w="3120"/>
          </w:tcPr>
          <w:p>
            <w:r>
              <w:rPr>
                <w:sz w:val="17"/>
              </w:rPr>
              <w:t>–</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3120"/>
          </w:tcPr>
          <w:p>
            <m:oMath xmlns:a="http://schemas.openxmlformats.org/drawingml/2006/main" xmlns:pic="http://schemas.openxmlformats.org/drawingml/2006/picture">
              <m:r>
                <m:t>2.1</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1.2</m:t>
              </m:r>
              <m:r>
                <m:rPr>
                  <m:sty m:val="p"/>
                </m:rPr>
                <m:t>×</m:t>
              </m:r>
              <m:sSup>
                <m:e>
                  <m:r>
                    <m:t>10</m:t>
                  </m:r>
                </m:e>
                <m:sup>
                  <m:r>
                    <m:rPr>
                      <m:sty m:val="p"/>
                    </m:rPr>
                    <m:t>−</m:t>
                  </m:r>
                  <m:r>
                    <m:t>4</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4.9</m:t>
              </m:r>
              <m:r>
                <m:rPr>
                  <m:sty m:val="p"/>
                </m:rPr>
                <m:t>×</m:t>
              </m:r>
              <m:sSup>
                <m:e>
                  <m:r>
                    <m:t>10</m:t>
                  </m:r>
                </m:e>
                <m:sup>
                  <m:r>
                    <m:t>15</m:t>
                  </m:r>
                </m:sup>
              </m:sSup>
            </m:oMath>
          </w:p>
        </w:tc>
        <w:tc>
          <w:tcPr>
            <w:tcW w:type="dxa" w:w="3120"/>
          </w:tcPr>
          <w:p>
            <m:oMath xmlns:a="http://schemas.openxmlformats.org/drawingml/2006/main" xmlns:pic="http://schemas.openxmlformats.org/drawingml/2006/picture">
              <m:r>
                <m:t>8.2</m:t>
              </m:r>
              <m:r>
                <m:rPr>
                  <m:sty m:val="p"/>
                </m:rPr>
                <m:t>×</m:t>
              </m:r>
              <m:sSup>
                <m:e>
                  <m:r>
                    <m:t>10</m:t>
                  </m:r>
                </m:e>
                <m:sup>
                  <m:r>
                    <m:t>8</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multi-salt</w:t>
            </w:r>
          </w:p>
        </w:tc>
        <w:tc>
          <w:tcPr>
            <w:tcW w:type="dxa" w:w="3120"/>
          </w:tcPr>
          <w:p>
            <m:oMath xmlns:a="http://schemas.openxmlformats.org/drawingml/2006/main" xmlns:pic="http://schemas.openxmlformats.org/drawingml/2006/picture">
              <m:r>
                <m:t>8.7</m:t>
              </m:r>
              <m:r>
                <m:rPr>
                  <m:sty m:val="p"/>
                </m:rPr>
                <m:t>×</m:t>
              </m:r>
              <m:sSup>
                <m:e>
                  <m:r>
                    <m:t>10</m:t>
                  </m:r>
                </m:e>
                <m:sup>
                  <m:r>
                    <m:t>9</m:t>
                  </m:r>
                </m:sup>
              </m:sSup>
            </m:oMath>
          </w:p>
        </w:tc>
        <w:tc>
          <w:tcPr>
            <w:tcW w:type="dxa" w:w="3120"/>
          </w:tcPr>
          <w:p>
            <m:oMath xmlns:a="http://schemas.openxmlformats.org/drawingml/2006/main" xmlns:pic="http://schemas.openxmlformats.org/drawingml/2006/picture">
              <m:r>
                <m:t>4.5</m:t>
              </m:r>
              <m:r>
                <m:rPr>
                  <m:sty m:val="p"/>
                </m:rPr>
                <m:t>×</m:t>
              </m:r>
              <m:sSup>
                <m:e>
                  <m:r>
                    <m:t>10</m:t>
                  </m:r>
                </m:e>
                <m:sup>
                  <m:r>
                    <m:t>7</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dual</w:t>
            </w:r>
          </w:p>
        </w:tc>
        <w:tc>
          <w:tcPr>
            <w:tcW w:type="dxa" w:w="3120"/>
          </w:tcPr>
          <w:p>
            <m:oMath xmlns:a="http://schemas.openxmlformats.org/drawingml/2006/main" xmlns:pic="http://schemas.openxmlformats.org/drawingml/2006/picture">
              <m:r>
                <m:t>1.8</m:t>
              </m:r>
              <m:r>
                <m:rPr>
                  <m:sty m:val="p"/>
                </m:rPr>
                <m:t>×</m:t>
              </m:r>
              <m:sSup>
                <m:e>
                  <m:r>
                    <m:t>10</m:t>
                  </m:r>
                </m:e>
                <m:sup>
                  <m:r>
                    <m:t>5</m:t>
                  </m:r>
                </m:sup>
              </m:sSup>
            </m:oMath>
          </w:p>
        </w:tc>
        <w:tc>
          <w:tcPr>
            <w:tcW w:type="dxa" w:w="3120"/>
          </w:tcPr>
          <w:p>
            <m:oMath xmlns:a="http://schemas.openxmlformats.org/drawingml/2006/main" xmlns:pic="http://schemas.openxmlformats.org/drawingml/2006/picture">
              <m:r>
                <m:t>1.8</m:t>
              </m:r>
              <m:r>
                <m:rPr>
                  <m:sty m:val="p"/>
                </m:rPr>
                <m:t>×</m:t>
              </m:r>
              <m:sSup>
                <m:e>
                  <m:r>
                    <m:t>10</m:t>
                  </m:r>
                </m:e>
                <m:sup>
                  <m:r>
                    <m:t>5</m:t>
                  </m:r>
                </m:sup>
              </m:sSup>
            </m:oMath>
          </w:p>
        </w:tc>
      </w:tr>
    </w:tbl>
    <w:p>
      <w:pPr>
        <w:spacing w:after="120"/>
      </w:pPr>
    </w:p>
    <w:p>
      <w:r>
        <w:rPr>
          <w:b/>
        </w:rPr>
        <w:t>Supplementary Table S16.</w:t>
      </w:r>
      <w:r>
        <w:t xml:space="preserve"> Four-way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Scheme</w:t>
            </w:r>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 xml:space="preserve">OOD </w:t>
            </w:r>
            <m:oMath xmlns:a="http://schemas.openxmlformats.org/drawingml/2006/main" xmlns:pic="http://schemas.openxmlformats.org/drawingml/2006/picture">
              <m:r>
                <m:t>ρ</m:t>
              </m:r>
            </m:oMath>
          </w:p>
        </w:tc>
        <w:tc>
          <w:tcPr>
            <w:tcW w:type="dxa" w:w="1560"/>
          </w:tcPr>
          <w:p>
            <w:r>
              <w:rPr>
                <w:b/>
                <w:sz w:val="17"/>
              </w:rPr>
              <w:t>wall-grad.</w:t>
            </w:r>
          </w:p>
        </w:tc>
        <w:tc>
          <w:tcPr>
            <w:tcW w:type="dxa" w:w="1560"/>
          </w:tcPr>
          <w:p>
            <w:r>
              <w:rPr>
                <w:b/>
                <w:sz w:val="17"/>
              </w:rPr>
              <w:t>consistency mismatch</w:t>
            </w:r>
          </w:p>
        </w:tc>
        <w:tc>
          <w:tcPr>
            <w:tcW w:type="dxa" w:w="1560"/>
          </w:tcPr>
          <w:p>
            <w:r>
              <w:rPr>
                <w:b/>
                <w:sz w:val="17"/>
              </w:rPr>
              <w:t xml:space="preserve">min </w:t>
            </w:r>
            <m:oMath xmlns:a="http://schemas.openxmlformats.org/drawingml/2006/main" xmlns:pic="http://schemas.openxmlformats.org/drawingml/2006/picture">
              <m:r>
                <m:t>c</m:t>
              </m:r>
            </m:oMath>
          </w:p>
        </w:tc>
      </w:tr>
      <w:tr>
        <w:tc>
          <w:tcPr>
            <w:tcW w:type="dxa" w:w="1560"/>
          </w:tcPr>
          <w:p>
            <w:r>
              <w:rPr>
                <w:sz w:val="17"/>
              </w:rPr>
              <w:t>hyperbolic reparam. (ours)</w:t>
            </w:r>
          </w:p>
        </w:tc>
        <w:tc>
          <w:tcPr>
            <w:tcW w:type="dxa" w:w="1560"/>
          </w:tcPr>
          <w:p>
            <m:oMath xmlns:a="http://schemas.openxmlformats.org/drawingml/2006/main" xmlns:pic="http://schemas.openxmlformats.org/drawingml/2006/picture">
              <m:r>
                <m:t>0.2066</m:t>
              </m:r>
              <m:r>
                <m:rPr>
                  <m:sty m:val="p"/>
                </m:rPr>
                <m:t>±</m:t>
              </m:r>
              <m:r>
                <m:t>0.0154</m:t>
              </m:r>
            </m:oMath>
          </w:p>
        </w:tc>
        <w:tc>
          <w:tcPr>
            <w:tcW w:type="dxa" w:w="1560"/>
          </w:tcPr>
          <w:p>
            <w:r>
              <w:rPr>
                <w:sz w:val="17"/>
              </w:rPr>
              <w:t>0.2575</w:t>
            </w:r>
          </w:p>
        </w:tc>
        <w:tc>
          <w:tcPr>
            <w:tcW w:type="dxa" w:w="1560"/>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0.992</w:t>
            </w:r>
          </w:p>
        </w:tc>
      </w:tr>
      <w:tr>
        <w:tc>
          <w:tcPr>
            <w:tcW w:type="dxa" w:w="1560"/>
          </w:tcPr>
          <w:p>
            <w:r>
              <w:rPr>
                <w:sz w:val="17"/>
              </w:rPr>
              <w:t>linear orthogonal projection</w:t>
            </w:r>
          </w:p>
        </w:tc>
        <w:tc>
          <w:tcPr>
            <w:tcW w:type="dxa" w:w="1560"/>
          </w:tcPr>
          <w:p>
            <m:oMath xmlns:a="http://schemas.openxmlformats.org/drawingml/2006/main" xmlns:pic="http://schemas.openxmlformats.org/drawingml/2006/picture">
              <m:r>
                <m:t>0.2008</m:t>
              </m:r>
              <m:r>
                <m:rPr>
                  <m:sty m:val="p"/>
                </m:rPr>
                <m:t>±</m:t>
              </m:r>
              <m:r>
                <m:t>0.0206</m:t>
              </m:r>
            </m:oMath>
          </w:p>
        </w:tc>
        <w:tc>
          <w:tcPr>
            <w:tcW w:type="dxa" w:w="1560"/>
          </w:tcPr>
          <w:p>
            <w:r>
              <w:rPr>
                <w:sz w:val="17"/>
              </w:rPr>
              <w:t>0.2598</w:t>
            </w:r>
          </w:p>
        </w:tc>
        <w:tc>
          <w:tcPr>
            <w:tcW w:type="dxa" w:w="1560"/>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560"/>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560"/>
          </w:tcPr>
          <w:p>
            <w:r>
              <w:rPr>
                <w:sz w:val="17"/>
              </w:rPr>
              <w:t>0.992</w:t>
            </w:r>
          </w:p>
        </w:tc>
      </w:tr>
      <w:tr>
        <w:tc>
          <w:tcPr>
            <w:tcW w:type="dxa" w:w="1560"/>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560"/>
          </w:tcPr>
          <w:p>
            <m:oMath xmlns:a="http://schemas.openxmlformats.org/drawingml/2006/main" xmlns:pic="http://schemas.openxmlformats.org/drawingml/2006/picture">
              <m:r>
                <m:t>0.4114</m:t>
              </m:r>
              <m:r>
                <m:rPr>
                  <m:sty m:val="p"/>
                </m:rPr>
                <m:t>±</m:t>
              </m:r>
              <m:r>
                <m:t>0.1871</m:t>
              </m:r>
            </m:oMath>
          </w:p>
        </w:tc>
        <w:tc>
          <w:tcPr>
            <w:tcW w:type="dxa" w:w="1560"/>
          </w:tcPr>
          <w:p>
            <w:r>
              <w:rPr>
                <w:sz w:val="17"/>
              </w:rPr>
              <w:t>0.2835</w:t>
            </w:r>
          </w:p>
        </w:tc>
        <w:tc>
          <w:tcPr>
            <w:tcW w:type="dxa" w:w="1560"/>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0.986</w:t>
            </w:r>
          </w:p>
        </w:tc>
      </w:tr>
      <w:tr>
        <w:tc>
          <w:tcPr>
            <w:tcW w:type="dxa" w:w="1560"/>
          </w:tcPr>
          <w:p>
            <w:r>
              <w:rPr>
                <w:sz w:val="17"/>
              </w:rPr>
              <w:t>direct concentration</w:t>
            </w:r>
          </w:p>
        </w:tc>
        <w:tc>
          <w:tcPr>
            <w:tcW w:type="dxa" w:w="1560"/>
          </w:tcPr>
          <w:p>
            <m:oMath xmlns:a="http://schemas.openxmlformats.org/drawingml/2006/main" xmlns:pic="http://schemas.openxmlformats.org/drawingml/2006/picture">
              <m:r>
                <m:t>0.9334</m:t>
              </m:r>
              <m:r>
                <m:rPr>
                  <m:sty m:val="p"/>
                </m:rPr>
                <m:t>±</m:t>
              </m:r>
              <m:r>
                <m:t>0.0082</m:t>
              </m:r>
            </m:oMath>
          </w:p>
        </w:tc>
        <w:tc>
          <w:tcPr>
            <w:tcW w:type="dxa" w:w="1560"/>
          </w:tcPr>
          <w:p>
            <w:r>
              <w:rPr>
                <w:sz w:val="17"/>
              </w:rPr>
              <w:t>0.8606</w:t>
            </w:r>
          </w:p>
        </w:tc>
        <w:tc>
          <w:tcPr>
            <w:tcW w:type="dxa" w:w="1560"/>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560"/>
          </w:tcPr>
          <w:p>
            <w:r>
              <w:rPr>
                <w:sz w:val="17"/>
              </w:rPr>
              <w:t>0 (exact)</w:t>
            </w:r>
          </w:p>
        </w:tc>
        <w:tc>
          <w:tcPr>
            <w:tcW w:type="dxa" w:w="1560"/>
          </w:tcPr>
          <w:p>
            <w:r>
              <w:rPr>
                <w:sz w:val="17"/>
              </w:rPr>
              <w:t>0.999</w:t>
            </w:r>
          </w:p>
        </w:tc>
      </w:tr>
    </w:tbl>
    <w:p>
      <w:pPr>
        <w:spacing w:after="120"/>
      </w:pPr>
    </w:p>
    <w:p>
      <w:r>
        <w:rPr>
          <w:b/>
        </w:rPr>
        <w:t>Supplementary Table S17.</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pPr>
        <w:pStyle w:val="Heading2"/>
      </w:pPr>
      <w:r>
        <w:t>S8. Deployment and parity</w:t>
      </w:r>
    </w:p>
    <w:p>
      <w:r>
        <w:rPr>
          <w:b/>
        </w:rPr>
        <w:t>Supplementary Table S13.</w:t>
      </w:r>
      <w:r>
        <w:t xml:space="preserve"> Deployment and parity checks.</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Check</w:t>
            </w:r>
          </w:p>
        </w:tc>
        <w:tc>
          <w:tcPr>
            <w:tcW w:type="dxa" w:w="4680"/>
          </w:tcPr>
          <w:p>
            <w:r>
              <w:rPr>
                <w:b/>
                <w:sz w:val="17"/>
              </w:rPr>
              <w:t>Value</w:t>
            </w:r>
          </w:p>
        </w:tc>
      </w:tr>
      <w:t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c>
          <w:tcPr>
            <w:tcW w:type="dxa" w:w="4680"/>
          </w:tcPr>
          <w:p>
            <w:r>
              <w:rPr>
                <w:sz w:val="17"/>
              </w:rPr>
              <w:t>Browser bundle size</w:t>
            </w:r>
          </w:p>
        </w:tc>
        <w:tc>
          <w:tcPr>
            <w:tcW w:type="dxa" w:w="4680"/>
          </w:tcPr>
          <w:p>
            <w:r>
              <w:rPr>
                <w:sz w:val="17"/>
              </w:rPr>
              <w:t>5,662,351 bytes</w:t>
            </w:r>
          </w:p>
        </w:tc>
      </w:tr>
      <w:tr>
        <w:tc>
          <w:tcPr>
            <w:tcW w:type="dxa" w:w="4680"/>
          </w:tcPr>
          <w:p>
            <w:r>
              <w:rPr>
                <w:sz w:val="17"/>
              </w:rPr>
              <w:t>DOM harness</w:t>
            </w:r>
          </w:p>
        </w:tc>
        <w:tc>
          <w:tcPr>
            <w:tcW w:type="dxa" w:w="4680"/>
          </w:tcPr>
          <w:p>
            <w:r>
              <w:rPr>
                <w:sz w:val="17"/>
              </w:rPr>
              <w:t>29 passed, 0 failed</w:t>
            </w:r>
          </w:p>
        </w:tc>
      </w:tr>
      <w:t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c>
          <w:tcPr>
            <w:tcW w:type="dxa" w:w="4680"/>
          </w:tcPr>
          <w:p>
            <w:r>
              <w:rPr>
                <w:sz w:val="17"/>
              </w:rPr>
              <w:t>Gradio DeepONet</w:t>
            </w:r>
          </w:p>
        </w:tc>
        <w:tc>
          <w:tcPr>
            <w:tcW w:type="dxa" w:w="4680"/>
          </w:tcPr>
          <w:p>
            <w:r>
              <w:rPr>
                <w:sz w:val="17"/>
              </w:rPr>
              <w:t>196.1 pA, 0.7568 ms</w:t>
            </w:r>
          </w:p>
        </w:tc>
      </w:tr>
      <w:t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t>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r>
        <w:t>```bash</w:t>
      </w:r>
    </w:p>
    <w:p>
      <w:pPr>
        <w:pStyle w:val="Title"/>
      </w:pPr>
      <w:r>
        <w:t>1. Reference dataset (240 states)</w:t>
      </w:r>
    </w:p>
    <w:p>
      <w:r>
        <w:t>.venv/bin/python scripts/generate</w:t>
      </w:r>
      <w:r>
        <w:rPr>
          <w:vertAlign w:val="subscript"/>
        </w:rPr>
        <w:t>parametric</w:t>
      </w:r>
      <w:r>
        <w:rPr>
          <w:vertAlign w:val="subscript"/>
        </w:rPr>
        <w:t>dataset</w:t>
      </w:r>
      <w:r>
        <w:t>.py</w:t>
      </w:r>
    </w:p>
    <w:p>
      <w:pPr>
        <w:pStyle w:val="Title"/>
      </w:pPr>
      <w:r>
        <w:t>2. Three-seed training and evaluation</w:t>
      </w:r>
    </w:p>
    <w:p>
      <w:r>
        <w:t>.venv/bin/python scripts/train</w:t>
      </w:r>
      <w:r>
        <w:rPr>
          <w:vertAlign w:val="subscript"/>
        </w:rPr>
        <w:t>and</w:t>
      </w:r>
      <w:r>
        <w:rPr>
          <w:vertAlign w:val="subscript"/>
        </w:rPr>
        <w:t>evaluate</w:t>
      </w:r>
      <w:r>
        <w:rPr>
          <w:vertAlign w:val="subscript"/>
        </w:rPr>
        <w:t>suite</w:t>
      </w:r>
      <w:r>
        <w:t>.py –seeds 42 43 44</w:t>
      </w:r>
    </w:p>
    <w:p>
      <w:pPr>
        <w:pStyle w:val="Title"/>
      </w:pPr>
      <w:r>
        <w:t>3. FNO 300-epoch check</w:t>
      </w:r>
    </w:p>
    <w:p>
      <w:r>
        <w:t>.venv/bin/python scripts/fno</w:t>
      </w:r>
      <w:r>
        <w:rPr>
          <w:vertAlign w:val="subscript"/>
        </w:rPr>
        <w:t>extended</w:t>
      </w:r>
      <w:r>
        <w:rPr>
          <w:vertAlign w:val="subscript"/>
        </w:rPr>
        <w:t>check</w:t>
      </w:r>
      <w:r>
        <w:t>.py</w:t>
      </w:r>
    </w:p>
    <w:p>
      <w:pPr>
        <w:pStyle w:val="Title"/>
      </w:pPr>
      <w:r>
        <w:t>4. Figures and layout QA</w:t>
      </w:r>
    </w:p>
    <w:p>
      <w:r>
        <w:t>.venv/bin/python scripts/figures/make</w:t>
      </w:r>
      <w:r>
        <w:rPr>
          <w:vertAlign w:val="subscript"/>
        </w:rPr>
        <w:t>all</w:t>
      </w:r>
      <w:r>
        <w:rPr>
          <w:vertAlign w:val="subscript"/>
        </w:rPr>
        <w:t>figures</w:t>
      </w:r>
      <w:r>
        <w:t>.py</w:t>
      </w:r>
    </w:p>
    <w:p>
      <w:r>
        <w:t>.venv/bin/python scripts/figures/verify</w:t>
      </w:r>
      <w:r>
        <w:rPr>
          <w:vertAlign w:val="subscript"/>
        </w:rPr>
        <w:t>figure</w:t>
      </w:r>
      <w:r>
        <w:rPr>
          <w:vertAlign w:val="subscript"/>
        </w:rPr>
        <w:t>layout</w:t>
      </w:r>
      <w:r>
        <w:t>.py</w:t>
      </w:r>
    </w:p>
    <w:p>
      <w:pPr>
        <w:pStyle w:val="Title"/>
      </w:pPr>
      <w:r>
        <w:t>5. Inverse recovery demo</w:t>
      </w:r>
    </w:p>
    <w:p>
      <w:r>
        <w:t>.venv/bin/python scripts/run</w:t>
      </w:r>
      <w:r>
        <w:rPr>
          <w:vertAlign w:val="subscript"/>
        </w:rPr>
        <w:t>inverse</w:t>
      </w:r>
      <w:r>
        <w:rPr>
          <w:vertAlign w:val="subscript"/>
        </w:rPr>
        <w:t>recovery</w:t>
      </w:r>
      <w:r>
        <w:rPr>
          <w:vertAlign w:val="subscript"/>
        </w:rPr>
        <w:t>demo</w:t>
      </w:r>
      <w:r>
        <w:t>.py</w:t>
      </w:r>
    </w:p>
    <w:p>
      <w:pPr>
        <w:pStyle w:val="Title"/>
      </w:pPr>
      <w:r>
        <w:t>6. Stage-10 studies (trunk ablation, 384-state scaling law, Fisher identifiability)</w:t>
      </w:r>
    </w:p>
    <w:p>
      <w:r>
        <w:t>.venv/bin/python scripts/generate</w:t>
      </w:r>
      <w:r>
        <w:rPr>
          <w:vertAlign w:val="subscript"/>
        </w:rPr>
        <w:t>parametric</w:t>
      </w:r>
      <w:r>
        <w:rPr>
          <w:vertAlign w:val="subscript"/>
        </w:rPr>
        <w:t>dataset</w:t>
      </w:r>
      <w:r>
        <w:t>.py   # original 240 states</w:t>
      </w:r>
    </w:p>
    <w:p>
      <w:r>
        <w:t>.venv/bin/python scripts/run</w:t>
      </w:r>
      <w:r>
        <w:rPr>
          <w:vertAlign w:val="subscript"/>
        </w:rPr>
        <w:t>stage10</w:t>
      </w:r>
      <w:r>
        <w:rPr>
          <w:vertAlign w:val="subscript"/>
        </w:rPr>
        <w:t>upgrades</w:t>
      </w:r>
      <w:r>
        <w:t>.py –epochs-ablation 500 –epochs-scaling 250</w:t>
      </w:r>
    </w:p>
    <w:p>
      <w:pPr>
        <w:pStyle w:val="Title"/>
      </w:pPr>
      <w:r>
        <w:t>7. Stage-11 reviewer upgrades (4-way constraints, physics sweep, SG/FV Fisher)</w:t>
      </w:r>
    </w:p>
    <w:p>
      <w:r>
        <w:t>.venv/bin/python scripts/run</w:t>
      </w:r>
      <w:r>
        <w:rPr>
          <w:vertAlign w:val="subscript"/>
        </w:rPr>
        <w:t>stage11</w:t>
      </w:r>
      <w:r>
        <w:rPr>
          <w:vertAlign w:val="subscript"/>
        </w:rPr>
        <w:t>reviewer</w:t>
      </w:r>
      <w:r>
        <w:rPr>
          <w:vertAlign w:val="subscript"/>
        </w:rPr>
        <w:t>upgrades</w:t>
      </w:r>
      <w:r>
        <w:t>.py</w:t>
      </w:r>
    </w:p>
    <w:p>
      <w:pPr>
        <w:pStyle w:val="Title"/>
      </w:pPr>
      <w:r>
        <w:t>8. Web bundle and DOM test</w:t>
      </w:r>
    </w:p>
    <w:p>
      <w:r>
        <w:t>.venv/bin/python scripts/build</w:t>
      </w:r>
      <w:r>
        <w:rPr>
          <w:vertAlign w:val="subscript"/>
        </w:rPr>
        <w:t>web</w:t>
      </w:r>
      <w:r>
        <w:rPr>
          <w:vertAlign w:val="subscript"/>
        </w:rPr>
        <w:t>bundle</w:t>
      </w:r>
      <w:r>
        <w:t>.py</w:t>
      </w:r>
    </w:p>
    <w:p>
      <w:r>
        <w:t>node scripts/test</w:t>
      </w:r>
      <w:r>
        <w:rPr>
          <w:vertAlign w:val="subscript"/>
        </w:rPr>
        <w:t>web</w:t>
      </w:r>
      <w:r>
        <w:rPr>
          <w:vertAlign w:val="subscript"/>
        </w:rPr>
        <w:t>simulator</w:t>
      </w:r>
      <w:r>
        <w:rPr>
          <w:vertAlign w:val="subscript"/>
        </w:rPr>
        <w:t>dom</w:t>
      </w:r>
      <w:r>
        <w:t>.js</w:t>
      </w:r>
    </w:p>
    <w:p>
      <w:pPr>
        <w:pStyle w:val="Title"/>
      </w:pPr>
      <w:r>
        <w:t>9. Live services (optional)</w:t>
      </w:r>
    </w:p>
    <w:p>
      <w:r>
        <w:t>.venv/bin/python scripts/serve</w:t>
      </w:r>
      <w:r>
        <w:rPr>
          <w:vertAlign w:val="subscript"/>
        </w:rPr>
        <w:t>interactive</w:t>
      </w:r>
      <w:r>
        <w:t>.py –host 127.0.0.1 –port 8765</w:t>
      </w:r>
    </w:p>
    <w:p>
      <w:r>
        <w:t>.venv/bin/python scripts/app</w:t>
      </w:r>
      <w:r>
        <w:rPr>
          <w:vertAlign w:val="subscript"/>
        </w:rPr>
        <w:t>gradio</w:t>
      </w:r>
      <w:r>
        <w:t>.py –host 127.0.0.1 –port 7860</w:t>
      </w:r>
    </w:p>
    <w:p>
      <w:r>
        <w:t>.venv/bin/python scripts/verify</w:t>
      </w:r>
      <w:r>
        <w:rPr>
          <w:vertAlign w:val="subscript"/>
        </w:rPr>
        <w:t>live</w:t>
      </w:r>
      <w:r>
        <w:rPr>
          <w:vertAlign w:val="subscript"/>
        </w:rPr>
        <w:t>servers</w:t>
      </w:r>
      <w:r>
        <w:t>.py</w:t>
      </w:r>
    </w:p>
    <w:p>
      <w:r>
        <w:rPr>
          <w:rFonts w:ascii="Consolas" w:hAnsi="Consolas"/>
          <w:sz w:val="19"/>
        </w:rPr>
        <w:t>`</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rPr>
          <w:b/>
        </w:rPr>
        <w:t>Supplementary Table S14.</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Content</w:t>
            </w:r>
          </w:p>
        </w:tc>
        <w:tc>
          <w:tcPr>
            <w:tcW w:type="dxa" w:w="3120"/>
          </w:tcPr>
          <w:p>
            <w:r>
              <w:rPr>
                <w:b/>
                <w:sz w:val="17"/>
              </w:rPr>
              <w:t>Source</w:t>
            </w:r>
          </w:p>
        </w:tc>
      </w:tr>
      <w:t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c>
          <w:tcPr>
            <w:tcW w:type="dxa" w:w="3120"/>
          </w:tcPr>
          <w:p>
            <w:r>
              <w:rPr>
                <w:sz w:val="17"/>
              </w:rPr>
              <w:t>Supplementary Table S7</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c>
          <w:tcPr>
            <w:tcW w:type="dxa" w:w="3120"/>
          </w:tcPr>
          <w:p>
            <w:r>
              <w:rPr>
                <w:sz w:val="17"/>
              </w:rPr>
              <w:t>Supplementary Table S8</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c>
          <w:tcPr>
            <w:tcW w:type="dxa" w:w="3120"/>
          </w:tcPr>
          <w:p>
            <w:r>
              <w:rPr>
                <w:sz w:val="17"/>
              </w:rPr>
              <w:t>Supplementary Table S9</w:t>
            </w:r>
          </w:p>
        </w:tc>
        <w:tc>
          <w:tcPr>
            <w:tcW w:type="dxa" w:w="3120"/>
          </w:tcPr>
          <w:p>
            <w:r>
              <w:rPr>
                <w:sz w:val="17"/>
              </w:rPr>
              <w:t>FNO epoch check</w:t>
            </w:r>
          </w:p>
        </w:tc>
        <w:tc>
          <w:tcPr>
            <w:tcW w:type="dxa" w:w="3120"/>
          </w:tcPr>
          <w:p>
            <w:r>
              <w:rPr>
                <w:rFonts w:ascii="Consolas" w:hAnsi="Consolas"/>
                <w:sz w:val="17"/>
              </w:rPr>
              <w:t>results/tables/table5_fno_epoch_check.csv</w:t>
            </w:r>
          </w:p>
        </w:tc>
      </w:tr>
      <w:tr>
        <w:tc>
          <w:tcPr>
            <w:tcW w:type="dxa" w:w="3120"/>
          </w:tcPr>
          <w:p>
            <w:r>
              <w:rPr>
                <w:sz w:val="17"/>
              </w:rPr>
              <w:t>Supplementary Table S10</w:t>
            </w:r>
          </w:p>
        </w:tc>
        <w:tc>
          <w:tcPr>
            <w:tcW w:type="dxa" w:w="3120"/>
          </w:tcPr>
          <w:p>
            <w:r>
              <w:rPr>
                <w:sz w:val="17"/>
              </w:rPr>
              <w:t>Inverse recovery</w:t>
            </w:r>
          </w:p>
        </w:tc>
        <w:tc>
          <w:tcPr>
            <w:tcW w:type="dxa" w:w="3120"/>
          </w:tcPr>
          <w:p>
            <w:r>
              <w:rPr>
                <w:rFonts w:ascii="Consolas" w:hAnsi="Consolas"/>
                <w:sz w:val="17"/>
              </w:rPr>
              <w:t>results/tables/table6_inverse_parameter_recovery.csv</w:t>
            </w:r>
          </w:p>
        </w:tc>
      </w:tr>
      <w:tr>
        <w:tc>
          <w:tcPr>
            <w:tcW w:type="dxa" w:w="3120"/>
          </w:tcPr>
          <w:p>
            <w:r>
              <w:rPr>
                <w:sz w:val="17"/>
              </w:rPr>
              <w:t>Supplementary Table S11</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S12</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S13</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c>
          <w:tcPr>
            <w:tcW w:type="dxa" w:w="3120"/>
          </w:tcPr>
          <w:p>
            <w:r>
              <w:rPr>
                <w:sz w:val="17"/>
              </w:rPr>
              <w:t>Supplementary Table S15</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c>
          <w:tcPr>
            <w:tcW w:type="dxa" w:w="3120"/>
          </w:tcPr>
          <w:p>
            <w:r>
              <w:rPr>
                <w:sz w:val="17"/>
              </w:rPr>
              <w:t>Supplementary Table S16</w:t>
            </w:r>
          </w:p>
        </w:tc>
        <w:tc>
          <w:tcPr>
            <w:tcW w:type="dxa" w:w="3120"/>
          </w:tcPr>
          <w:p>
            <w:r>
              <w:rPr>
                <w:sz w:val="17"/>
              </w:rPr>
              <w:t>Four-way constraint-scheme benchmark</w:t>
            </w:r>
          </w:p>
        </w:tc>
        <w:tc>
          <w:tcPr>
            <w:tcW w:type="dxa" w:w="3120"/>
          </w:tcPr>
          <w:p>
            <w:r>
              <w:rPr>
                <w:rFonts w:ascii="Consolas" w:hAnsi="Consolas"/>
                <w:sz w:val="17"/>
              </w:rPr>
              <w:t>results/tables/table_constraint_schemes_4way.csv</w:t>
            </w:r>
          </w:p>
        </w:tc>
      </w:tr>
      <w:tr>
        <w:tc>
          <w:tcPr>
            <w:tcW w:type="dxa" w:w="3120"/>
          </w:tcPr>
          <w:p>
            <w:r>
              <w:rPr>
                <w:sz w:val="17"/>
              </w:rPr>
              <w:t>Supplementary Table S17</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c>
          <w:tcPr>
            <w:tcW w:type="dxa" w:w="3120"/>
          </w:tcPr>
          <w:p>
            <w:r>
              <w:rPr>
                <w:sz w:val="17"/>
              </w:rPr>
              <w:t>Supplementary Table S18</w:t>
            </w:r>
          </w:p>
        </w:tc>
        <w:tc>
          <w:tcPr>
            <w:tcW w:type="dxa" w:w="3120"/>
          </w:tcPr>
          <w:p>
            <w:r>
              <w:rPr>
                <w:sz w:val="17"/>
              </w:rPr>
              <w:t>Exact SG/FV versus operator Fisher/Jacobian validation</w:t>
            </w:r>
          </w:p>
        </w:tc>
        <w:tc>
          <w:tcPr>
            <w:tcW w:type="dxa" w:w="3120"/>
          </w:tcPr>
          <w:p>
            <w:r>
              <w:rPr>
                <w:rFonts w:ascii="Consolas" w:hAnsi="Consolas"/>
                <w:sz w:val="17"/>
              </w:rPr>
              <w:t>results/tables/table_sgfv_fisher_validation.csv</w:t>
            </w:r>
          </w:p>
        </w:tc>
      </w:tr>
      <w:tr>
        <w:tc>
          <w:tcPr>
            <w:tcW w:type="dxa" w:w="3120"/>
          </w:tcPr>
          <w:p>
            <w:r>
              <w:rPr>
                <w:sz w:val="17"/>
              </w:rPr>
              <w:t>Claim map</w:t>
            </w:r>
          </w:p>
        </w:tc>
        <w:tc>
          <w:tcPr>
            <w:tcW w:type="dxa" w:w="3120"/>
          </w:tcPr>
          <w:p>
            <w:r>
              <w:rPr>
                <w:sz w:val="17"/>
              </w:rPr>
              <w:t>Claim-to-evidence audit (C01–C38, L01–L60)</w:t>
            </w:r>
          </w:p>
        </w:tc>
        <w:tc>
          <w:tcPr>
            <w:tcW w:type="dxa" w:w="3120"/>
          </w:tcPr>
          <w:p>
            <w:r>
              <w:rPr>
                <w:rFonts w:ascii="Consolas" w:hAnsi="Consolas"/>
                <w:sz w:val="17"/>
              </w:rPr>
              <w:t>manuscript/claim_evidence.csv</w:t>
            </w:r>
          </w:p>
        </w:tc>
      </w:tr>
      <w:t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c>
          <w:tcPr>
            <w:tcW w:type="dxa" w:w="3120"/>
          </w:tcPr>
          <w:p>
            <w:r>
              <w:rPr>
                <w:sz w:val="17"/>
              </w:rPr>
              <w:t>Inverse demo</w:t>
            </w:r>
          </w:p>
        </w:tc>
        <w:tc>
          <w:tcPr>
            <w:tcW w:type="dxa" w:w="3120"/>
          </w:tcPr>
          <w:p>
            <w:r>
              <w:rPr>
                <w:sz w:val="17"/>
              </w:rPr>
              <w:t>Full inverse JSON</w:t>
            </w:r>
          </w:p>
        </w:tc>
        <w:tc>
          <w:tcPr>
            <w:tcW w:type="dxa" w:w="3120"/>
          </w:tcPr>
          <w:p>
            <w:r>
              <w:rPr>
                <w:rFonts w:ascii="Consolas" w:hAnsi="Consolas"/>
                <w:sz w:val="17"/>
              </w:rPr>
              <w:t>results/inverse_recovery_demo.json</w:t>
            </w:r>
          </w:p>
        </w:tc>
      </w:tr>
      <w:t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