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Materials</w:t>
      </w:r>
    </w:p>
    <w:p>
      <w:r>
        <w:rPr>
          <w:b/>
        </w:rPr>
        <w:t>Manuscript:</w:t>
      </w:r>
      <w:r>
        <w:t xml:space="preserve"> A parameter-conditioned physics-informed neural operator for axisymmetric Poisson--Nernst--Planck transport in charged nanopores</w:t>
      </w:r>
    </w:p>
    <w:p>
      <w:r>
        <w:rPr>
          <w:b/>
        </w:rPr>
        <w:t>Author:</w:t>
      </w:r>
      <w:r>
        <w:t xml:space="preserve"> Javad Alizargar</w:t>
      </w:r>
    </w:p>
    <w:p>
      <w:r>
        <w:t>This supplement documents the dataset, constraint derivation, training protocol, extended metrics, out-of-distribution definitions, inverse-recovery protocol, deployment checks, and reproducibility commands. All numerical values are produced by the archived scripts and result files listed in Section S9.</w:t>
      </w:r>
    </w:p>
    <w:p>
      <w:pPr>
        <w:pStyle w:val="Heading2"/>
      </w:pPr>
      <w:r>
        <w:t>S1. Dataset, ranges, and splits</w:t>
      </w:r>
    </w:p>
    <w:p>
      <w:r>
        <w:t xml:space="preserve">The dataset contains 240 steady axisymmetric states on a </w:t>
      </w:r>
      <w:r>
        <w:t>21×61</w:t>
      </w:r>
      <w:r>
        <w:t xml:space="preserve"> node-centered grid (radial </w:t>
      </w:r>
      <w:r>
        <w:t>×</w:t>
      </w:r>
      <w:r>
        <w:t xml:space="preserve"> axial). The pore length is </w:t>
      </w:r>
      <w:r>
        <w:t>L=30</w:t>
      </w:r>
      <w:r>
        <w:t xml:space="preserve"> nm; the temperature is </w:t>
      </w:r>
      <w:r>
        <w:t>T=298.15</w:t>
      </w:r>
      <w:r>
        <w:t xml:space="preserve"> K; the relative permittivity is </w:t>
      </w:r>
      <w:r>
        <w:t>ε_r=78.5</w:t>
      </w:r>
      <w:r>
        <w:t xml:space="preserve">; the ionic diffusivities are </w:t>
      </w:r>
      <w:r>
        <w:t>D_+=1.96×10^-9</w:t>
      </w:r>
      <w:r>
        <w:t xml:space="preserve"> m</w:t>
      </w:r>
      <w:r>
        <w:t>^2</w:t>
      </w:r>
      <w:r>
        <w:t xml:space="preserve"> s</w:t>
      </w:r>
      <w:r>
        <w:t>^-1</w:t>
      </w:r>
      <w:r>
        <w:t xml:space="preserve"> and </w:t>
      </w:r>
      <w:r>
        <w:t>D_-=2.03×10^-9</w:t>
      </w:r>
      <w:r>
        <w:t xml:space="preserve"> m</w:t>
      </w:r>
      <w:r>
        <w:t>^2</w:t>
      </w:r>
      <w:r>
        <w:t xml:space="preserve"> s</w:t>
      </w:r>
      <w:r>
        <w:t>^-1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7"/>
              </w:rPr>
              <w:t>Split</w:t>
            </w:r>
          </w:p>
        </w:tc>
        <w:tc>
          <w:tcPr>
            <w:tcW w:type="dxa" w:w="3120"/>
          </w:tcPr>
          <w:p>
            <w:r>
              <w:rPr>
                <w:b/>
                <w:sz w:val="17"/>
              </w:rPr>
              <w:t>Count</w:t>
            </w:r>
          </w:p>
        </w:tc>
        <w:tc>
          <w:tcPr>
            <w:tcW w:type="dxa" w:w="3120"/>
          </w:tcPr>
          <w:p>
            <w:r>
              <w:rPr>
                <w:b/>
                <w:sz w:val="17"/>
              </w:rPr>
              <w:t>Sampling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Train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Latin hypercube in the in-distribution box, plus boundary and corner anchors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Interpolation test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Latin hypercube in the in-distribution box; index 144 is the benchmark state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OOD charge/salt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q_w</w:t>
            </w:r>
            <w:r>
              <w:rPr>
                <w:sz w:val="17"/>
              </w:rPr>
              <w:t xml:space="preserve"> and/or </w:t>
            </w:r>
            <w:r>
              <w:rPr>
                <w:sz w:val="17"/>
              </w:rPr>
              <w:t>C_0</w:t>
            </w:r>
            <w:r>
              <w:rPr>
                <w:sz w:val="17"/>
              </w:rPr>
              <w:t xml:space="preserve"> outside the training box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OOD geometry/voltage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R</w:t>
            </w:r>
            <w:r>
              <w:rPr>
                <w:sz w:val="17"/>
              </w:rPr>
              <w:t xml:space="preserve"> and/or </w:t>
            </w:r>
            <w:r>
              <w:rPr>
                <w:sz w:val="17"/>
              </w:rPr>
              <w:t>V_app</w:t>
            </w:r>
            <w:r>
              <w:rPr>
                <w:sz w:val="17"/>
              </w:rPr>
              <w:t xml:space="preserve"> outside the training box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Total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240</w:t>
            </w:r>
          </w:p>
        </w:tc>
        <w:tc>
          <w:tcPr>
            <w:tcW w:type="dxa" w:w="3120"/>
          </w:tcPr>
          <w:p/>
        </w:tc>
      </w:tr>
    </w:tbl>
    <w:p>
      <w:pPr>
        <w:spacing w:after="120"/>
      </w:pPr>
    </w:p>
    <w:p>
      <w:r>
        <w:t xml:space="preserve">The in-distribution box is </w:t>
      </w:r>
      <w:r>
        <w:t>V_app[-50,50]</w:t>
      </w:r>
      <w:r>
        <w:t xml:space="preserve"> mV, </w:t>
      </w:r>
      <w:r>
        <w:t>C_0[20,200]</w:t>
      </w:r>
      <w:r>
        <w:t xml:space="preserve"> mol m</w:t>
      </w:r>
      <w:r>
        <w:t>^-3</w:t>
      </w:r>
      <w:r>
        <w:t xml:space="preserve">, </w:t>
      </w:r>
      <w:r>
        <w:t>q_w[-0.05,0]</w:t>
      </w:r>
      <w:r>
        <w:t xml:space="preserve">, and </w:t>
      </w:r>
      <w:r>
        <w:t>R[3,8]</w:t>
      </w:r>
      <w:r>
        <w:t xml:space="preserve"> nm. The generated states extend to </w:t>
      </w:r>
      <w:r>
        <w:t>C_0=10.23</w:t>
      </w:r>
      <w:r>
        <w:t xml:space="preserve"> mol m</w:t>
      </w:r>
      <w:r>
        <w:t>^-3</w:t>
      </w:r>
      <w:r>
        <w:t xml:space="preserve">, </w:t>
      </w:r>
      <w:r>
        <w:t>R=2.027</w:t>
      </w:r>
      <w:r>
        <w:t xml:space="preserve"> nm, and </w:t>
      </w:r>
      <w:r>
        <w:t>q_w=-0.09816</w:t>
      </w:r>
      <w:r>
        <w:t xml:space="preserve"> in the OOD groups. The web simulator exposes wider slider ranges (voltage </w:t>
      </w:r>
      <w:r>
        <w:t>±75</w:t>
      </w:r>
      <w:r>
        <w:t xml:space="preserve"> mV, </w:t>
      </w:r>
      <w:r>
        <w:t>C_0</w:t>
      </w:r>
      <w:r>
        <w:t xml:space="preserve"> 10--200 mol m</w:t>
      </w:r>
      <w:r>
        <w:t>^-3</w:t>
      </w:r>
      <w:r>
        <w:t xml:space="preserve">, </w:t>
      </w:r>
      <w:r>
        <w:t>q_w</w:t>
      </w:r>
      <w:r>
        <w:t xml:space="preserve"> </w:t>
      </w:r>
      <w:r>
        <w:t>-0.1</w:t>
      </w:r>
      <w:r>
        <w:t xml:space="preserve">--0, </w:t>
      </w:r>
      <w:r>
        <w:t>R</w:t>
      </w:r>
      <w:r>
        <w:t xml:space="preserve"> 2--8 nm) but flags values outside the in-distribution box as OOD.</w:t>
      </w:r>
    </w:p>
    <w:p>
      <w:r>
        <w:t xml:space="preserve">Acceptance criteria: residual below </w:t>
      </w:r>
      <w:r>
        <w:t>10^-9</w:t>
      </w:r>
      <w:r>
        <w:t xml:space="preserve">, finite fields, and </w:t>
      </w:r>
      <w:r>
        <w:t>c_±&gt;0</w:t>
      </w:r>
      <w:r>
        <w:t xml:space="preserve"> everywhere. The realized maximum residual is 9.936e-10, the minimum cation concentration is 0.9999, and the minimum anion concentration is 0.8034. No state required continuation. The benchmark state (index 144) is </w:t>
      </w:r>
      <w:r>
        <w:t>V_app=50</w:t>
      </w:r>
      <w:r>
        <w:t xml:space="preserve"> mV, </w:t>
      </w:r>
      <w:r>
        <w:t>C_0=100</w:t>
      </w:r>
      <w:r>
        <w:t xml:space="preserve"> mol m</w:t>
      </w:r>
      <w:r>
        <w:t>^-3</w:t>
      </w:r>
      <w:r>
        <w:t xml:space="preserve">, </w:t>
      </w:r>
      <w:r>
        <w:t>q_w=-0.01</w:t>
      </w:r>
      <w:r>
        <w:t xml:space="preserve">, </w:t>
      </w:r>
      <w:r>
        <w:t>R=5</w:t>
      </w:r>
      <w:r>
        <w:t xml:space="preserve"> nm; its reference mean current is 196.1 pA.</w:t>
      </w:r>
    </w:p>
    <w:p>
      <w:r>
        <w:t>Reference solve cost: median 0.2013 s, mean 0.2391 s on the Apple M1 host. Dataset generation wall time: 59.18 s.</w:t>
      </w:r>
    </w:p>
    <w:p>
      <w:pPr>
        <w:pStyle w:val="Heading2"/>
      </w:pPr>
      <w:r>
        <w:t>S2. Models and training hyperparameters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7"/>
              </w:rPr>
              <w:t>Setting</w:t>
            </w:r>
          </w:p>
        </w:tc>
        <w:tc>
          <w:tcPr>
            <w:tcW w:type="dxa" w:w="3120"/>
          </w:tcPr>
          <w:p>
            <w:r>
              <w:rPr>
                <w:b/>
                <w:sz w:val="17"/>
              </w:rPr>
              <w:t>DeepONet</w:t>
            </w:r>
          </w:p>
        </w:tc>
        <w:tc>
          <w:tcPr>
            <w:tcW w:type="dxa" w:w="3120"/>
          </w:tcPr>
          <w:p>
            <w:r>
              <w:rPr>
                <w:b/>
                <w:sz w:val="17"/>
              </w:rPr>
              <w:t>FNO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Output parameterization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(s,ρ)</w:t>
            </w:r>
            <w:r>
              <w:rPr>
                <w:sz w:val="17"/>
              </w:rPr>
              <w:t xml:space="preserve"> + exact boundary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(s,ρ)</w:t>
            </w:r>
            <w:r>
              <w:rPr>
                <w:sz w:val="17"/>
              </w:rPr>
              <w:t xml:space="preserve"> + exact boundary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Inner dimension / width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p=64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width 24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Spectral modes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--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8×12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Spectral layers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--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4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Trainable parameters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36,880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460,488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Epochs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500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110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Batch size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36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Learning rate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2×10^-3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2×10^-3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Physics weight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10^-3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10^-3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Seeds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42, 43, 44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42, 43, 44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Training time, seed 42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50.59 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108.5 s</w:t>
            </w:r>
          </w:p>
        </w:tc>
      </w:tr>
    </w:tbl>
    <w:p>
      <w:pPr>
        <w:spacing w:after="120"/>
      </w:pPr>
    </w:p>
    <w:p>
      <w:r>
        <w:t>A separate FNO was trained for 300 epochs (seed 42, 302.2 s) to check whether the 110-epoch budget limited accuracy. The 300-epoch results are reported in Table 5 of the main text. A data-only ablation removes the physics term while keeping the architecture, data, and optimizer fixed.</w:t>
      </w:r>
    </w:p>
    <w:p>
      <w:r>
        <w:t>Loss: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24890" cy="2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4890" cy="2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96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9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where </w:t>
      </w:r>
      <w:r>
        <w:t>F=ψ,s,ρ</w:t>
      </w:r>
      <w:r>
        <w:t xml:space="preserve"> and </w:t>
      </w:r>
      <w:r>
        <w:t>RMS_s(f)</w:t>
      </w:r>
      <w:r>
        <w:t xml:space="preserve"> is the root-mean-square of field </w:t>
      </w:r>
      <w:r>
        <w:t>f</w:t>
      </w:r>
      <w:r>
        <w:t xml:space="preserve"> in state </w:t>
      </w:r>
      <w:r>
        <w:t>s</w:t>
      </w:r>
      <w:r>
        <w:t>. The per-state scale is floored at 10% of the global RMS to avoid amplifying near-zero states. The physics term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92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9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where the overbar is a mean over collocation or boundary points and the residuals are the dimensionless Poisson, continuity, wall-potential, and zero-flux residuals. The physics term therefore penalizes the Poisson residual, both continuity residuals, and the wall boundary conditions. The current is not used as a training target; it is computed after the forward pass with the SG face-flux formula, so the reported current errors are an independent check on field consistency.</w:t>
      </w:r>
    </w:p>
    <w:p>
      <w:pPr>
        <w:pStyle w:val="Heading2"/>
      </w:pPr>
      <w:r>
        <w:t>S3. Derivation of the exact-reservoir and charge-balanced ansatz</w:t>
      </w:r>
    </w:p>
    <w:p>
      <w:pPr>
        <w:pStyle w:val="Heading3"/>
      </w:pPr>
      <w:r>
        <w:t>S3.1 Dimensionless PNP system</w:t>
      </w:r>
    </w:p>
    <w:p>
      <w:r>
        <w:t xml:space="preserve">Lengths are scaled by the pore length </w:t>
      </w:r>
      <w:r>
        <w:t>L</w:t>
      </w:r>
      <w:r>
        <w:t xml:space="preserve">, the radial coordinate by the pore radius </w:t>
      </w:r>
      <w:r>
        <w:t>R</w:t>
      </w:r>
      <w:r>
        <w:t xml:space="preserve">, potentials by the thermal voltage </w:t>
      </w:r>
      <w:r>
        <w:t>V_T=k_BT/e</w:t>
      </w:r>
      <w:r>
        <w:t xml:space="preserve">, and concentrations by the bulk concentration </w:t>
      </w:r>
      <w:r>
        <w:t>C_0</w:t>
      </w:r>
      <w:r>
        <w:t xml:space="preserve">. With </w:t>
      </w:r>
      <w:r>
        <w:t>r=r/R[0,1]</w:t>
      </w:r>
      <w:r>
        <w:t xml:space="preserve"> and </w:t>
      </w:r>
      <w:r>
        <w:t>z[0,1]</w:t>
      </w:r>
      <w:r>
        <w:t>, the steady dimensionless Poisson equation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80560" cy="822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and the two steady continuity equations 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80560" cy="6442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644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12574" cy="8271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2574" cy="827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ionic flux is </w:t>
      </w:r>
      <w:r>
        <w:t>J_±=-∇ c_±∓ c_±∇ψ</w:t>
      </w:r>
      <w:r>
        <w:t xml:space="preserve">. On the finite-volume grid, the axial flux at face </w:t>
      </w:r>
      <w:r>
        <w:t>i+12</w:t>
      </w:r>
      <w:r>
        <w:t xml:space="preserve">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190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1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and the radial face flux has the same form with </w:t>
      </w:r>
      <w:r>
        <w:t>Δ r</w:t>
      </w:r>
      <w:r>
        <w:t xml:space="preserve"> and the appropriate </w:t>
      </w:r>
      <w:r>
        <w:t>α_r</w:t>
      </w:r>
      <w:r>
        <w:t xml:space="preserve"> factor. The wall conditions are </w:t>
      </w:r>
      <w:r>
        <w:t>J_±,r=0</w:t>
      </w:r>
      <w:r>
        <w:t xml:space="preserve"> and </w:t>
      </w:r>
      <w:r>
        <w:t>∂_rψ|_wall=q_w</w:t>
      </w:r>
      <w:r>
        <w:t xml:space="preserve"> (the code sign convention, consistent with negative </w:t>
      </w:r>
      <w:r>
        <w:t>q_w</w:t>
      </w:r>
      <w:r>
        <w:t xml:space="preserve"> giving a negative wall potential); the reservoir conditions are </w:t>
      </w:r>
      <w:r>
        <w:t>ψ=V_app/V_T</w:t>
      </w:r>
      <w:r>
        <w:t xml:space="preserve"> at </w:t>
      </w:r>
      <w:r>
        <w:t>z=0</w:t>
      </w:r>
      <w:r>
        <w:t xml:space="preserve">, </w:t>
      </w:r>
      <w:r>
        <w:t>ψ=0</w:t>
      </w:r>
      <w:r>
        <w:t xml:space="preserve"> at </w:t>
      </w:r>
      <w:r>
        <w:t>z=1</w:t>
      </w:r>
      <w:r>
        <w:t xml:space="preserve">, and </w:t>
      </w:r>
      <w:r>
        <w:t>c_±=1</w:t>
      </w:r>
      <w:r>
        <w:t xml:space="preserve"> at both ends.</w:t>
      </w:r>
    </w:p>
    <w:p>
      <w:r>
        <w:t xml:space="preserve">Let </w:t>
      </w:r>
      <w:r>
        <w:t>z[0,1]</w:t>
      </w:r>
      <w:r>
        <w:t xml:space="preserve"> be the normalized axial coordinate, with </w:t>
      </w:r>
      <w:r>
        <w:t>z=0</w:t>
      </w:r>
      <w:r>
        <w:t xml:space="preserve"> at the high-potential reservoir and </w:t>
      </w:r>
      <w:r>
        <w:t>z=1</w:t>
      </w:r>
      <w:r>
        <w:t xml:space="preserve"> at the grounded reservoir. For any smooth </w:t>
      </w:r>
      <w:r>
        <w:t>G_ψ</w:t>
      </w:r>
      <w:r>
        <w:t>,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63734" cy="253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3734" cy="2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satisfies </w:t>
      </w:r>
      <w:r>
        <w:t>ψ_θ(r,0)=V_app</w:t>
      </w:r>
      <w:r>
        <w:t xml:space="preserve"> and </w:t>
      </w:r>
      <w:r>
        <w:t>ψ_θ(r,1)=0</w:t>
      </w:r>
      <w:r>
        <w:t xml:space="preserve"> identically, because the correction vanishes at both ends. No penalty or projection is needed.</w:t>
      </w:r>
    </w:p>
    <w:p>
      <w:r>
        <w:t>For the concentrations, define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31178" cy="640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1178" cy="64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with </w:t>
      </w:r>
      <w:r>
        <w:t>s_θ</w:t>
      </w:r>
      <w:r>
        <w:t xml:space="preserve"> normalized by </w:t>
      </w:r>
      <w:r>
        <w:t>C_0</w:t>
      </w:r>
      <w:r>
        <w:t>. Reconstruct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5960" cy="3532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35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Then:</w:t>
      </w:r>
    </w:p>
    <w:p>
      <w:pPr>
        <w:pStyle w:val="ListNumber"/>
      </w:pPr>
      <w:r>
        <w:rPr>
          <w:b/>
        </w:rPr>
        <w:t>Positivity.</w:t>
      </w:r>
      <w:r>
        <w:t xml:space="preserve"> </w:t>
      </w:r>
      <w:r>
        <w:t>√(s^2+ρ^2)≥|ρ|</w:t>
      </w:r>
      <w:r>
        <w:t xml:space="preserve">, so </w:t>
      </w:r>
      <w:r>
        <w:t>c_+≥0</w:t>
      </w:r>
      <w:r>
        <w:t xml:space="preserve"> and </w:t>
      </w:r>
      <w:r>
        <w:t>c_-≥0</w:t>
      </w:r>
      <w:r>
        <w:t xml:space="preserve"> for any real </w:t>
      </w:r>
      <w:r>
        <w:t>s,ρ</w:t>
      </w:r>
      <w:r>
        <w:t xml:space="preserve">. The exponential form keeps </w:t>
      </w:r>
      <w:r>
        <w:t>s&gt;0</w:t>
      </w:r>
      <w:r>
        <w:t xml:space="preserve"> by construction.</w:t>
      </w:r>
    </w:p>
    <w:p>
      <w:pPr>
        <w:pStyle w:val="ListNumber"/>
      </w:pPr>
      <w:r>
        <w:rPr>
          <w:b/>
        </w:rPr>
        <w:t>Charge identity.</w:t>
      </w:r>
      <w:r>
        <w:t xml:space="preserve"> </w:t>
      </w:r>
      <w:r>
        <w:t>c_+-c_-=ρ</w:t>
      </w:r>
      <w:r>
        <w:t xml:space="preserve"> exactly.</w:t>
      </w:r>
    </w:p>
    <w:p>
      <w:pPr>
        <w:pStyle w:val="ListNumber"/>
      </w:pPr>
      <w:r>
        <w:rPr>
          <w:b/>
        </w:rPr>
        <w:t>Sum identity.</w:t>
      </w:r>
      <w:r>
        <w:t xml:space="preserve"> </w:t>
      </w:r>
      <w:r>
        <w:t>c_++c_-=√(s^2+ρ^2)=s</w:t>
      </w:r>
      <w:r>
        <w:t xml:space="preserve">, so the reconstructed sum is positive and equals </w:t>
      </w:r>
      <w:r>
        <w:t>s</w:t>
      </w:r>
      <w:r>
        <w:t xml:space="preserve"> exactly.</w:t>
      </w:r>
    </w:p>
    <w:p>
      <w:pPr>
        <w:pStyle w:val="ListNumber"/>
      </w:pPr>
      <w:r>
        <w:rPr>
          <w:b/>
        </w:rPr>
        <w:t>Reservoir limit.</w:t>
      </w:r>
      <w:r>
        <w:t xml:space="preserve"> As </w:t>
      </w:r>
      <w:r>
        <w:t>z→0</w:t>
      </w:r>
      <w:r>
        <w:t xml:space="preserve"> or </w:t>
      </w:r>
      <w:r>
        <w:t>z→1</w:t>
      </w:r>
      <w:r>
        <w:t xml:space="preserve"> the envelope vanishes, so </w:t>
      </w:r>
      <w:r>
        <w:t>s→2</w:t>
      </w:r>
      <w:r>
        <w:t xml:space="preserve"> and </w:t>
      </w:r>
      <w:r>
        <w:t>ρ→0</w:t>
      </w:r>
      <w:r>
        <w:t xml:space="preserve">, hence </w:t>
      </w:r>
      <w:r>
        <w:t>c_±→1</w:t>
      </w:r>
      <w:r>
        <w:t xml:space="preserve"> in normalized units (i.e., </w:t>
      </w:r>
      <w:r>
        <w:t>c_±→ C_0</w:t>
      </w:r>
      <w:r>
        <w:t xml:space="preserve">). The ansatz therefore enforces both reservoir concentrations exactly, not merely neutrality; the EDL structure is represented by the interior profiles of </w:t>
      </w:r>
      <w:r>
        <w:t>G_s</w:t>
      </w:r>
      <w:r>
        <w:t xml:space="preserve"> and </w:t>
      </w:r>
      <w:r>
        <w:t>G_ρ</w:t>
      </w:r>
      <w:r>
        <w:t>.</w:t>
      </w:r>
    </w:p>
    <w:p>
      <w:r>
        <w:t>The algebraic charge identity was checked numerically: the maximum absolute error over the test states is 1.110e-16, i.e., double-precision round-off.</w:t>
      </w:r>
    </w:p>
    <w:p>
      <w:r>
        <w:rPr>
          <w:b/>
        </w:rPr>
        <w:t>Why this matters.</w:t>
      </w:r>
      <w:r>
        <w:t xml:space="preserve"> If </w:t>
      </w:r>
      <w:r>
        <w:t>c_+</w:t>
      </w:r>
      <w:r>
        <w:t xml:space="preserve"> and </w:t>
      </w:r>
      <w:r>
        <w:t>c_-</w:t>
      </w:r>
      <w:r>
        <w:t xml:space="preserve"> are predicted independently, the error in </w:t>
      </w:r>
      <w:r>
        <w:t>ρ=c_+-c_-</w:t>
      </w:r>
      <w:r>
        <w:t xml:space="preserve"> is the difference of two errors, each of order </w:t>
      </w:r>
      <w:r>
        <w:t>ε c</w:t>
      </w:r>
      <w:r>
        <w:t xml:space="preserve">, while </w:t>
      </w:r>
      <w:r>
        <w:t>|ρ|</w:t>
      </w:r>
      <w:r>
        <w:t xml:space="preserve"> can be much smaller than </w:t>
      </w:r>
      <w:r>
        <w:t>c</w:t>
      </w:r>
      <w:r>
        <w:t xml:space="preserve">. The relative error in </w:t>
      </w:r>
      <w:r>
        <w:t>ρ</w:t>
      </w:r>
      <w:r>
        <w:t xml:space="preserve"> therefore scales like </w:t>
      </w:r>
      <w:r>
        <w:t>ε c/|ρ|</w:t>
      </w:r>
      <w:r>
        <w:t xml:space="preserve"> and diverges in weakly charged states. Predicting </w:t>
      </w:r>
      <w:r>
        <w:t>s</w:t>
      </w:r>
      <w:r>
        <w:t xml:space="preserve"> and </w:t>
      </w:r>
      <w:r>
        <w:t>ρ</w:t>
      </w:r>
      <w:r>
        <w:t xml:space="preserve"> removes this cancellation by construction. The empirical effect is an 8.63-fold (DeepONet) and 10.29-fold (FNO) reduction in interp-test net-charge error.</w:t>
      </w:r>
    </w:p>
    <w:p>
      <w:pPr>
        <w:pStyle w:val="Heading2"/>
      </w:pPr>
      <w:r>
        <w:t>S4. Extended accuracy metrics</w:t>
      </w:r>
    </w:p>
    <w:p>
      <w:r>
        <w:t xml:space="preserve">The full three-seed table is </w:t>
      </w:r>
      <w:r>
        <w:rPr>
          <w:rFonts w:ascii="Consolas" w:hAnsi="Consolas"/>
          <w:sz w:val="19"/>
        </w:rPr>
        <w:t>results/tables/table3_multiseed_h1_h2_h3_ablation.csv</w:t>
      </w:r>
      <w:r>
        <w:t xml:space="preserve"> (462 data rows; columns: model, mode, condition, split, metric, mean, sd, median, iqr). The main text reports the means for </w:t>
      </w:r>
      <w:r>
        <w:t>ψ</w:t>
      </w:r>
      <w:r>
        <w:t xml:space="preserve">, </w:t>
      </w:r>
      <w:r>
        <w:t>c_+</w:t>
      </w:r>
      <w:r>
        <w:t xml:space="preserve">, </w:t>
      </w:r>
      <w:r>
        <w:t>ρ</w:t>
      </w:r>
      <w:r>
        <w:t xml:space="preserve">, </w:t>
      </w:r>
      <w:r>
        <w:t>I</w:t>
      </w:r>
      <w:r>
        <w:t xml:space="preserve">, and the mean absolute current error. The per-state values underlying Figure 4 are in </w:t>
      </w:r>
      <w:r>
        <w:rPr>
          <w:rFonts w:ascii="Consolas" w:hAnsi="Consolas"/>
          <w:sz w:val="19"/>
        </w:rPr>
        <w:t>results/tables/per_state_test_metrics.csv</w:t>
      </w:r>
      <w:r>
        <w:t xml:space="preserve"> (1,728 data rows).</w:t>
      </w:r>
    </w:p>
    <w:p>
      <w:r>
        <w:t>Selected additional values: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Split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c_-</w:t>
            </w:r>
            <w:r>
              <w:rPr>
                <w:b/>
                <w:sz w:val="17"/>
              </w:rPr>
              <w:t xml:space="preserve"> rel. </w:t>
            </w:r>
            <w:r>
              <w:rPr>
                <w:b/>
                <w:sz w:val="17"/>
              </w:rPr>
              <w:t>L_2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σ_c</w:t>
            </w:r>
            <w:r>
              <w:rPr>
                <w:b/>
                <w:sz w:val="17"/>
              </w:rPr>
              <w:t xml:space="preserve"> rel. </w:t>
            </w:r>
            <w:r>
              <w:rPr>
                <w:b/>
                <w:sz w:val="17"/>
              </w:rPr>
              <w:t>L_2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Wall-derivative error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Poisson residual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DeepONet reparam.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interp.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0.00059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0.0004484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0.004969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0.2122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DeepONet reparam.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OOD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0.02253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0.003569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0.01579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2.543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FNO reparam.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interp.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0.00159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0.001521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0.007247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0.8617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FNO reparam.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OOD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0.01311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0.005082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0.03705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9.594</w:t>
            </w:r>
          </w:p>
        </w:tc>
      </w:tr>
    </w:tbl>
    <w:p>
      <w:pPr>
        <w:spacing w:after="120"/>
      </w:pPr>
    </w:p>
    <w:p>
      <w:r>
        <w:t xml:space="preserve">All values are three-seed means from </w:t>
      </w:r>
      <w:r>
        <w:rPr>
          <w:rFonts w:ascii="Consolas" w:hAnsi="Consolas"/>
          <w:sz w:val="19"/>
        </w:rPr>
        <w:t>results/statistics.json</w:t>
      </w:r>
      <w:r>
        <w:t>. The exact seed-level values for every split are in the 462-row CSV. The current errors are relatively stable across seeds: the interp-test standard deviation of the DeepONet current error is 0.0004264, and the OOD standard deviation is 0.0001388. The potential errors are more variable, with an interp-test standard deviation of 0.0001613 for the DeepONet.</w:t>
      </w:r>
    </w:p>
    <w:p>
      <w:pPr>
        <w:pStyle w:val="Heading2"/>
      </w:pPr>
      <w:r>
        <w:t>S5. H3 conditioning analysis</w:t>
      </w:r>
    </w:p>
    <w:p>
      <w:r>
        <w:t>Table S5 reports the net-charge error conditioned on the surface-charge magnitude and on the Debye ratio. The values are the means over three seeds for the interpolation split.</w:t>
      </w:r>
    </w:p>
    <w:p>
      <w:r>
        <w:rPr>
          <w:b/>
        </w:rPr>
        <w:t>Table S5a.</w:t>
      </w:r>
      <w:r>
        <w:t xml:space="preserve"> By </w:t>
      </w:r>
      <w:r>
        <w:t>|q_w|</w:t>
      </w:r>
      <w:r>
        <w:t xml:space="preserve"> quartile.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Model / parameterization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Q1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Q2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Q3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Q4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DeepONet reparam.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0.1567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0.143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0.08423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0.1197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0.2801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 xml:space="preserve">DeepONet direct </w:t>
            </w:r>
            <w:r>
              <w:rPr>
                <w:sz w:val="17"/>
              </w:rPr>
              <w:t>c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0.7795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0.9116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0.7594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0.7635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0.6836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FNO reparam.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0.252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0.5316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0.112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0.1482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0.216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 xml:space="preserve">FNO direct </w:t>
            </w:r>
            <w:r>
              <w:rPr>
                <w:sz w:val="17"/>
              </w:rPr>
              <w:t>c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1.839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0.9576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0.988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1.016</w:t>
            </w:r>
          </w:p>
        </w:tc>
      </w:tr>
    </w:tbl>
    <w:p>
      <w:pPr>
        <w:spacing w:after="120"/>
      </w:pPr>
    </w:p>
    <w:p>
      <w:r>
        <w:rPr>
          <w:b/>
        </w:rPr>
        <w:t>Table S5b.</w:t>
      </w:r>
      <w:r>
        <w:t xml:space="preserve"> By </w:t>
      </w:r>
      <w:r>
        <w:t>λ_D/R</w:t>
      </w:r>
      <w:r>
        <w:t xml:space="preserve"> quartile.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7"/>
              </w:rPr>
              <w:t>Model / parameterization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Q4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DeepONet reparam.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0.1486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0.08436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0.1098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0.2841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 xml:space="preserve">DeepONet direct </w:t>
            </w:r>
            <w:r>
              <w:rPr>
                <w:sz w:val="17"/>
              </w:rPr>
              <w:t>c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1.074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0.7397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0.6677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0.6363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FNO reparam.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0.4925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0.1302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0.1889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0.1962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 xml:space="preserve">FNO direct </w:t>
            </w:r>
            <w:r>
              <w:rPr>
                <w:sz w:val="17"/>
              </w:rPr>
              <w:t>c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1.811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0.9791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1.001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1.01</w:t>
            </w:r>
          </w:p>
        </w:tc>
      </w:tr>
    </w:tbl>
    <w:p>
      <w:pPr>
        <w:spacing w:after="120"/>
      </w:pPr>
    </w:p>
    <w:p>
      <w:r>
        <w:t>The reparameterized models are uniformly better, and the advantage is largest in the weak-charge quartile, where the direct models approach unit relative error.</w:t>
      </w:r>
    </w:p>
    <w:p>
      <w:pPr>
        <w:pStyle w:val="Heading2"/>
      </w:pPr>
      <w:r>
        <w:t>S6. Out-of-distribution definitions</w:t>
      </w:r>
    </w:p>
    <w:p>
      <w:r>
        <w:t>The OOD split is constructed by sampling outside the training box in one or two coordinates while keeping the others in range.</w:t>
      </w:r>
    </w:p>
    <w:p>
      <w:pPr>
        <w:pStyle w:val="ListBullet"/>
      </w:pPr>
      <w:r>
        <w:rPr>
          <w:b/>
        </w:rPr>
        <w:t>OOD charge/salt:</w:t>
      </w:r>
      <w:r>
        <w:t xml:space="preserve"> </w:t>
      </w:r>
      <w:r>
        <w:t>q_w</w:t>
      </w:r>
      <w:r>
        <w:t xml:space="preserve"> and/or </w:t>
      </w:r>
      <w:r>
        <w:t>C_0</w:t>
      </w:r>
      <w:r>
        <w:t xml:space="preserve"> outside the training box.</w:t>
      </w:r>
    </w:p>
    <w:p>
      <w:pPr>
        <w:pStyle w:val="ListBullet"/>
      </w:pPr>
      <w:r>
        <w:rPr>
          <w:b/>
        </w:rPr>
        <w:t>OOD geometry/voltage:</w:t>
      </w:r>
      <w:r>
        <w:t xml:space="preserve"> </w:t>
      </w:r>
      <w:r>
        <w:t>R</w:t>
      </w:r>
      <w:r>
        <w:t xml:space="preserve"> and/or </w:t>
      </w:r>
      <w:r>
        <w:t>V_app</w:t>
      </w:r>
      <w:r>
        <w:t xml:space="preserve"> outside the training box.</w:t>
      </w:r>
    </w:p>
    <w:p>
      <w:r>
        <w:t xml:space="preserve">The split is a controlled extrapolation, not an adversarial stress test. It is intended to answer a practical question: if a user moves one slider beyond the calibrated range, does the current prediction degrade gracefully? For current, it does (OOD relative </w:t>
      </w:r>
      <w:r>
        <w:t>L_2</w:t>
      </w:r>
      <w:r>
        <w:t xml:space="preserve"> 0.001363 for the DeepONet and 0.009123 for the FNO). For pointwise potential, it does not: the DeepONet OOD potential error is 0.02024, 22.7-fold larger than its interp-test value.</w:t>
      </w:r>
    </w:p>
    <w:p>
      <w:pPr>
        <w:pStyle w:val="Heading2"/>
      </w:pPr>
      <w:r>
        <w:t>S7. Inverse-recovery protocol and sensitivity</w:t>
      </w:r>
    </w:p>
    <w:p>
      <w:r>
        <w:rPr>
          <w:b/>
        </w:rPr>
        <w:t>States.</w:t>
      </w:r>
      <w:r>
        <w:t xml:space="preserve"> Five held-out interpolation states: indices 175, 147, 154, 172, and 161. They span </w:t>
      </w:r>
      <w:r>
        <w:t>C_0=27.2</w:t>
      </w:r>
      <w:r>
        <w:t>--</w:t>
      </w:r>
      <w:r>
        <w:t>140.2</w:t>
      </w:r>
      <w:r>
        <w:t xml:space="preserve"> mol m</w:t>
      </w:r>
      <w:r>
        <w:t>^-3</w:t>
      </w:r>
      <w:r>
        <w:t xml:space="preserve">, </w:t>
      </w:r>
      <w:r>
        <w:t>R=3.362</w:t>
      </w:r>
      <w:r>
        <w:t>--</w:t>
      </w:r>
      <w:r>
        <w:t>7.276</w:t>
      </w:r>
      <w:r>
        <w:t xml:space="preserve"> nm, and </w:t>
      </w:r>
      <w:r>
        <w:t>q_w=-0.04557</w:t>
      </w:r>
      <w:r>
        <w:t xml:space="preserve"> to </w:t>
      </w:r>
      <w:r>
        <w:t>-0.00206</w:t>
      </w:r>
      <w:r>
        <w:t>.</w:t>
      </w:r>
    </w:p>
    <w:p>
      <w:r>
        <w:rPr>
          <w:b/>
        </w:rPr>
        <w:t>Measurement.</w:t>
      </w:r>
      <w:r>
        <w:t xml:space="preserve"> Exact SG/FV currents at </w:t>
      </w:r>
      <w:r>
        <w:t>V_app=-50,-25,0,25,50</w:t>
      </w:r>
      <w:r>
        <w:t xml:space="preserve"> mV, multiplied by </w:t>
      </w:r>
      <w:r>
        <w:t>1+0.01 N(0,1)</w:t>
      </w:r>
      <w:r>
        <w:t xml:space="preserve"> with a fixed seed per state.</w:t>
      </w:r>
    </w:p>
    <w:p>
      <w:r>
        <w:rPr>
          <w:b/>
        </w:rPr>
        <w:t>Search.</w:t>
      </w:r>
      <w:r>
        <w:t xml:space="preserve"> 400 candidate </w:t>
      </w:r>
      <w:r>
        <w:t>(q_w,R)</w:t>
      </w:r>
      <w:r>
        <w:t xml:space="preserve"> pairs in the dataset box (</w:t>
      </w:r>
      <w:r>
        <w:t>q_w[-0.09815884117319931,0]</w:t>
      </w:r>
      <w:r>
        <w:t xml:space="preserve">, </w:t>
      </w:r>
      <w:r>
        <w:t>R[2.0265975267620897,8]</w:t>
      </w:r>
      <w:r>
        <w:t xml:space="preserve">), evaluated at the five biases (2000 forward evaluations per state). The best three candidates are refined with Nelder--Mead (bounded by clipping, 400 iterations, objective tolerance </w:t>
      </w:r>
      <w:r>
        <w:t>10^-12</w:t>
      </w:r>
      <w:r>
        <w:t>).</w:t>
      </w:r>
    </w:p>
    <w:p>
      <w:r>
        <w:rPr>
          <w:b/>
        </w:rPr>
        <w:t>Identifiability diagnostic.</w:t>
      </w:r>
      <w:r>
        <w:t xml:space="preserve"> At the recovered radius, the cost is profiled over 41 values of </w:t>
      </w:r>
      <w:r>
        <w:t>q_w</w:t>
      </w:r>
      <w:r>
        <w:t xml:space="preserve"> spanning the prior. The 1%-noise floor is </w:t>
      </w:r>
      <w:r>
        <w:t>Δcost=10^-4</w:t>
      </w:r>
      <w:r>
        <w:t xml:space="preserve">; the set of </w:t>
      </w:r>
      <w:r>
        <w:t>q_w</w:t>
      </w:r>
      <w:r>
        <w:t xml:space="preserve"> values within that floor spans the full prior width (0.09816) for all five states. The maximum relative current change across the prior is 0.0009625.</w:t>
      </w:r>
    </w:p>
    <w:p>
      <w:r>
        <w:rPr>
          <w:b/>
        </w:rPr>
        <w:t>Interpretation.</w:t>
      </w:r>
      <w:r>
        <w:t xml:space="preserve"> Radius is identifiable because the current magnitude and slope constrain the pore cross-section. Fixed charge is not identifiable because the total conductance of a symmetric electrolyte with nearly equal diffusivities is almost invariant to Donnan polarization. This is a property of the measurement, not of the operator. A charge-sensitive observable would break the degeneracy.</w:t>
      </w:r>
    </w:p>
    <w:p>
      <w:r>
        <w:rPr>
          <w:b/>
        </w:rPr>
        <w:t>Results.</w:t>
      </w:r>
      <w:r>
        <w:t xml:space="preserve"> See Table 6 in the main text and </w:t>
      </w:r>
      <w:r>
        <w:rPr>
          <w:rFonts w:ascii="Consolas" w:hAnsi="Consolas"/>
          <w:sz w:val="19"/>
        </w:rPr>
        <w:t>results/tables/table6_inverse_parameter_recovery.csv</w:t>
      </w:r>
      <w:r>
        <w:t xml:space="preserve">. Median radius error 0.004574; median </w:t>
      </w:r>
      <w:r>
        <w:t>q_w</w:t>
      </w:r>
      <w:r>
        <w:t xml:space="preserve"> error 1.154; median surface-charge-density error 1.146. Grid wall time per state 0.1253 s; equivalent SG/FV time 402.6 s; speed-up 3214.</w:t>
      </w:r>
    </w:p>
    <w:p>
      <w:pPr>
        <w:pStyle w:val="Heading2"/>
      </w:pPr>
      <w:r>
        <w:t>S8. Deployment and parity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7"/>
              </w:rPr>
              <w:t>Check</w:t>
            </w:r>
          </w:p>
        </w:tc>
        <w:tc>
          <w:tcPr>
            <w:tcW w:type="dxa" w:w="4680"/>
          </w:tcPr>
          <w:p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ONNX vs PyTorch, 96 states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>3.576e-7 max abs. difference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ONNX vs PyTorch, 48-state stage-5 check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>2.384e-7 max abs. difference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JavaScript current vs SG/FV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>5.686e-7 max relative difference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Browser bundle size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>5,662,351 bytes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DOM harness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>29 passed, 0 failed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Live SG/FV service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>196.1 pA, 0.2082 s, 4 iterations, residual 2.422e-10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Gradio DeepONet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>196.1 pA, 0.7568 ms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Gradio compare, live solve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 xml:space="preserve">0.2057 s; </w:t>
            </w:r>
            <w:r>
              <w:rPr>
                <w:sz w:val="17"/>
              </w:rPr>
              <w:t>ψ</w:t>
            </w:r>
            <w:r>
              <w:rPr>
                <w:sz w:val="17"/>
              </w:rPr>
              <w:t xml:space="preserve"> rel. </w:t>
            </w:r>
            <w:r>
              <w:rPr>
                <w:sz w:val="17"/>
              </w:rPr>
              <w:t>L_2</w:t>
            </w:r>
            <w:r>
              <w:rPr>
                <w:sz w:val="17"/>
              </w:rPr>
              <w:t xml:space="preserve"> 0.0002126; </w:t>
            </w:r>
            <w:r>
              <w:rPr>
                <w:sz w:val="17"/>
              </w:rPr>
              <w:t>I</w:t>
            </w:r>
            <w:r>
              <w:rPr>
                <w:sz w:val="17"/>
              </w:rPr>
              <w:t xml:space="preserve"> rel. </w:t>
            </w:r>
            <w:r>
              <w:rPr>
                <w:sz w:val="17"/>
              </w:rPr>
              <w:t>L_2</w:t>
            </w:r>
            <w:r>
              <w:rPr>
                <w:sz w:val="17"/>
              </w:rPr>
              <w:t xml:space="preserve"> 0.0007364</w:t>
            </w:r>
          </w:p>
        </w:tc>
      </w:tr>
    </w:tbl>
    <w:p>
      <w:pPr>
        <w:spacing w:after="120"/>
      </w:pPr>
    </w:p>
    <w:p>
      <w:r>
        <w:t>The browser bundle contains both ONNX models (</w:t>
      </w:r>
      <w:r>
        <w:rPr>
          <w:rFonts w:ascii="Consolas" w:hAnsi="Consolas"/>
          <w:sz w:val="19"/>
        </w:rPr>
        <w:t>deeponet_reparam_seed42.onnx</w:t>
      </w:r>
      <w:r>
        <w:t xml:space="preserve">, 188,897 bytes; </w:t>
      </w:r>
      <w:r>
        <w:rPr>
          <w:rFonts w:ascii="Consolas" w:hAnsi="Consolas"/>
          <w:sz w:val="19"/>
        </w:rPr>
        <w:t>fno_reparam_seed42.onnx</w:t>
      </w:r>
      <w:r>
        <w:t>, 1,912,172 bytes), the model metadata, and the JavaScript engine. The Gradio app imports the same functions used by the UI, so the headless verification exercises the deployed code path.</w:t>
      </w:r>
    </w:p>
    <w:p>
      <w:pPr>
        <w:pStyle w:val="Heading2"/>
      </w:pPr>
      <w:r>
        <w:t>S9. Reproducibility commands</w:t>
      </w:r>
    </w:p>
    <w:p>
      <w:r>
        <w:t>Run from the project root with the virtual environment activated.</w:t>
      </w:r>
    </w:p>
    <w:p>
      <w:r>
        <w:t>```bash</w:t>
      </w:r>
    </w:p>
    <w:p>
      <w:pPr>
        <w:pStyle w:val="Title"/>
      </w:pPr>
      <w:r>
        <w:t>1. Reference dataset (240 states)</w:t>
      </w:r>
    </w:p>
    <w:p>
      <w:r>
        <w:t>.venv/bin/python scripts/generate_parametric_dataset.py</w:t>
      </w:r>
    </w:p>
    <w:p>
      <w:pPr>
        <w:pStyle w:val="Title"/>
      </w:pPr>
      <w:r>
        <w:t>2. Three-seed training and evaluation</w:t>
      </w:r>
    </w:p>
    <w:p>
      <w:r>
        <w:t>.venv/bin/python scripts/train_and_evaluate_suite.py --seeds 42 43 44</w:t>
      </w:r>
    </w:p>
    <w:p>
      <w:pPr>
        <w:pStyle w:val="Title"/>
      </w:pPr>
      <w:r>
        <w:t>3. FNO 300-epoch check</w:t>
      </w:r>
    </w:p>
    <w:p>
      <w:r>
        <w:t>.venv/bin/python scripts/fno_extended_check.py</w:t>
      </w:r>
    </w:p>
    <w:p>
      <w:pPr>
        <w:pStyle w:val="Title"/>
      </w:pPr>
      <w:r>
        <w:t>4. Figures and layout QA</w:t>
      </w:r>
    </w:p>
    <w:p>
      <w:r>
        <w:t>.venv/bin/python scripts/figures/make_all_figures.py</w:t>
      </w:r>
    </w:p>
    <w:p>
      <w:r>
        <w:t>.venv/bin/python scripts/figures/verify_figure_layout.py</w:t>
      </w:r>
    </w:p>
    <w:p>
      <w:pPr>
        <w:pStyle w:val="Title"/>
      </w:pPr>
      <w:r>
        <w:t>5. Inverse recovery demo</w:t>
      </w:r>
    </w:p>
    <w:p>
      <w:r>
        <w:t>.venv/bin/python scripts/run_inverse_recovery_demo.py</w:t>
      </w:r>
    </w:p>
    <w:p>
      <w:pPr>
        <w:pStyle w:val="Title"/>
      </w:pPr>
      <w:r>
        <w:t>6. Web bundle and DOM test</w:t>
      </w:r>
    </w:p>
    <w:p>
      <w:r>
        <w:t>.venv/bin/python scripts/build_web_bundle.py</w:t>
      </w:r>
    </w:p>
    <w:p>
      <w:r>
        <w:t>node scripts/test_web_simulator_dom.js</w:t>
      </w:r>
    </w:p>
    <w:p>
      <w:pPr>
        <w:pStyle w:val="Title"/>
      </w:pPr>
      <w:r>
        <w:t>7. Live services (optional)</w:t>
      </w:r>
    </w:p>
    <w:p>
      <w:r>
        <w:t>.venv/bin/python scripts/serve_interactive.py --host 127.0.0.1 --port 8765</w:t>
      </w:r>
    </w:p>
    <w:p>
      <w:r>
        <w:t>.venv/bin/python scripts/app_gradio.py --host 127.0.0.1 --port 7860</w:t>
      </w:r>
    </w:p>
    <w:p>
      <w:r>
        <w:t>.venv/bin/python scripts/verify_live_servers.py</w:t>
      </w:r>
    </w:p>
    <w:p>
      <w:r>
        <w:rPr>
          <w:rFonts w:ascii="Consolas" w:hAnsi="Consolas"/>
          <w:sz w:val="19"/>
        </w:rPr>
        <w:t>`</w:t>
      </w:r>
    </w:p>
    <w:p>
      <w:r>
        <w:t xml:space="preserve">The exact command-line defaults for the training suite are seeds 42 43 44, 110 FNO epochs, 500 DeepONet epochs, batch 36, learning rate </w:t>
      </w:r>
      <w:r>
        <w:t>2×10^-3</w:t>
      </w:r>
      <w:r>
        <w:t xml:space="preserve">, physics weight </w:t>
      </w:r>
      <w:r>
        <w:t>10^-3</w:t>
      </w:r>
      <w:r>
        <w:t xml:space="preserve">, FNO width 24, FNO modes </w:t>
      </w:r>
      <w:r>
        <w:t>8×12</w:t>
      </w:r>
      <w:r>
        <w:t>, and DeepONet inner dimension 64.</w:t>
      </w:r>
    </w:p>
    <w:p>
      <w:pPr>
        <w:pStyle w:val="Heading2"/>
      </w:pPr>
      <w:r>
        <w:t>S10. Figure, table, and claim crosswalk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7"/>
              </w:rPr>
              <w:t>Item</w:t>
            </w:r>
          </w:p>
        </w:tc>
        <w:tc>
          <w:tcPr>
            <w:tcW w:type="dxa" w:w="3120"/>
          </w:tcPr>
          <w:p>
            <w:r>
              <w:rPr>
                <w:b/>
                <w:sz w:val="17"/>
              </w:rPr>
              <w:t>Content</w:t>
            </w:r>
          </w:p>
        </w:tc>
        <w:tc>
          <w:tcPr>
            <w:tcW w:type="dxa" w:w="3120"/>
          </w:tcPr>
          <w:p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Figure 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Geometry, operating space, hard constraints, backbones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scripts/figures/fig1_workflow_and_architecture.py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Figure 2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Benchmark fields, errors, current profile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scripts/figures/fig2_benchmark_and_field_reconstruction.py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Figure 3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Charge reparameterization and physics ablation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scripts/figures/fig3_h3_charge_reparameterization_ablation.py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Figure 4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Per-state distributions, EDL dependence, parity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scripts/figures/fig4_h1_h2_interp_vs_ood_regimes.py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Figure 5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Continuous parameter sweeps versus SG/FV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scripts/figures/fig5_parametric_physics_sweeps.py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Figure 6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Latency and amortization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scripts/figures/fig6_h4_timing_and_amortization_breakeven.py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Table 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Dataset and solver validation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results/tables/table1_dataset_and_solver_validation.csv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Table 2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Benchmark versus DA-PINN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results/tables/table2_benchmark_state_vs_dapinn.csv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Table 3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Three-seed metrics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results/tables/table3_multiseed_h1_h2_h3_ablation.csv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Table 4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Timing and break-even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results/tables/table4_timing_and_amortization.csv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Table 5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FNO epoch check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results/tables/table5_fno_epoch_check.csv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Table 6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Inverse recovery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results/tables/table6_inverse_parameter_recovery.csv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Claim map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Claim-to-evidence audit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manuscript/claim_evidence.csv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Statistics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Canonical JSON values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results/statistics.json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Inverse demo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Full inverse JSON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results/inverse_recovery_demo.json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Layout QA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0-issue report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results/figure_data/figure_layout_report.json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Vision QA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Advisory model report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7"/>
              </w:rPr>
              <w:t>results/figure_data/vision_qa_report.json</w:t>
            </w:r>
          </w:p>
        </w:tc>
      </w:tr>
    </w:tbl>
    <w:p>
      <w:pPr>
        <w:spacing w:after="120"/>
      </w:pPr>
    </w:p>
    <w:p>
      <w:r>
        <w:t>The deterministic layout verifier reports zero issues across all six figures. The paid vision-QA pass was advisory only; its 15 flags were manually adjudicated as false positives, and the layout verifier was used as the binding gate.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