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Conductance identifiability limits and physics-constrained neural operators for axisymmetric Poisson–Nernst–Planck transport in charged nanopores</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 display tables (Supplementary Tables S1–S20); the main text contains the six multipanel figures only. The released software and data are permanently archived at Zenodo DOI https://doi.org/10.5281/zenodo.23487404.</w:t>
      </w:r>
    </w:p>
    <w:p>
      <w:pPr>
        <w:pStyle w:val="Heading2"/>
      </w:pPr>
      <w:r>
        <w:t>S0. Supplementary tables S1–S20, summary index and compendium</w:t>
      </w:r>
    </w:p>
    <w:p>
      <w:r>
        <w:t>The twenty display tables are collected here in strict order S1 through S20,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Four-way constraint-scheme benchmark.</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Inverse recovery from five-bias noisy current–voltage curves.</w:t>
      </w:r>
    </w:p>
    <w:p>
      <w:pPr>
        <w:pStyle w:val="ListBullet"/>
      </w:pPr>
      <w:r>
        <w:rPr>
          <w:b/>
        </w:rPr>
        <w:t>S19</w:t>
      </w:r>
      <w:r>
        <w:t>: Exact SG/FV versus neural-operator Fisher and Jacobian validation.</w:t>
      </w:r>
    </w:p>
    <w:p>
      <w:pPr>
        <w:pStyle w:val="ListBullet"/>
      </w:pPr>
      <w:r>
        <w:rPr>
          <w:b/>
        </w:rPr>
        <w:t>S20</w:t>
      </w:r>
      <w:r>
        <w:t>: Exact SG/FV diffusivity-ratio scan.</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Inverse recovery</w:t>
            </w:r>
          </w:p>
        </w:tc>
        <w:tc>
          <w:tcPr>
            <w:tcW w:type="dxa" w:w="3120"/>
          </w:tcPr>
          <w:p>
            <w:r>
              <w:rPr>
                <w:rFonts w:ascii="Consolas" w:hAnsi="Consolas"/>
                <w:sz w:val="17"/>
              </w:rPr>
              <w:t>results/tables/table6_inverse_parameter_recovery.csv</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Four-way constraint-scheme benchmark</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results/tables/table_sgfv_fisher_validation.csv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Claim map</w:t>
            </w:r>
          </w:p>
        </w:tc>
        <w:tc>
          <w:tcPr>
            <w:tcW w:type="dxa" w:w="3120"/>
          </w:tcPr>
          <w:p>
            <w:r>
              <w:rPr>
                <w:sz w:val="17"/>
              </w:rPr>
              <w:t>Claim-to-evidence audit (C01–C38, L01–L60)</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demo</w:t>
            </w:r>
          </w:p>
        </w:tc>
        <w:tc>
          <w:tcPr>
            <w:tcW w:type="dxa" w:w="3120"/>
          </w:tcPr>
          <w:p>
            <w:r>
              <w:rPr>
                <w:sz w:val="17"/>
              </w:rPr>
              <w:t>Full inverse JSON</w:t>
            </w:r>
          </w:p>
        </w:tc>
        <w:tc>
          <w:tcPr>
            <w:tcW w:type="dxa" w:w="3120"/>
          </w:tcPr>
          <w:p>
            <w:r>
              <w:rPr>
                <w:rFonts w:ascii="Consolas" w:hAnsi="Consolas"/>
                <w:sz w:val="17"/>
              </w:rPr>
              <w:t>results/inverse_recovery_demo.json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For 15 held-out states, 1\%/2\%/5\%-proxy Gaussian noise levels (implemented as 0.2\%, 1\%, 2\% relative noise), three measurement protocols: single-salt I–V (one salt), multi-salt I–V (three salts, 10–100 mol </w:t>
      </w:r>
      <m:oMath xmlns:a="http://schemas.openxmlformats.org/drawingml/2006/main" xmlns:pic="http://schemas.openxmlformats.org/drawingml/2006/picture">
        <m:sSup>
          <m:e>
            <m:r>
              <m:t>m</m:t>
            </m:r>
          </m:e>
          <m:sup>
            <m:r>
              <m:rPr>
                <m:sty m:val="p"/>
              </m:rPr>
              <m:t>−</m:t>
            </m:r>
            <m:r>
              <m:t>3</m:t>
            </m:r>
          </m:sup>
        </m:sSup>
      </m:oMath>
      <w:r>
        <w:t xml:space="preserve">), and the dual protocol that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I–V data. Recovery uses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Errors are medians over the 15 states.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Protocol</w:t>
            </w:r>
          </w:p>
        </w:tc>
        <w:tc>
          <w:tcPr>
            <w:tcW w:type="dxa" w:w="1560"/>
          </w:tcPr>
          <w:p>
            <w:r>
              <w:rPr>
                <w:b/>
                <w:sz w:val="17"/>
              </w:rPr>
              <w:t>Noise</w:t>
            </w:r>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560"/>
          </w:tcPr>
          <w:p>
            <m:oMath xmlns:a="http://schemas.openxmlformats.org/drawingml/2006/main" xmlns:pic="http://schemas.openxmlformats.org/drawingml/2006/picture">
              <m:sSub>
                <m:e>
                  <m:r>
                    <m:t>q</m:t>
                  </m:r>
                </m:e>
                <m:sub>
                  <m:r>
                    <m:t>w</m:t>
                  </m:r>
                </m:sub>
              </m:sSub>
            </m:oMath>
            <w:r>
              <w:rPr>
                <w:b/>
                <w:sz w:val="17"/>
              </w:rPr>
              <w:t xml:space="preserve"> identifiable (</w:t>
            </w:r>
            <m:oMath xmlns:a="http://schemas.openxmlformats.org/drawingml/2006/main" xmlns:pic="http://schemas.openxmlformats.org/drawingml/2006/picture">
              <m:r>
                <m:rPr>
                  <m:sty m:val="p"/>
                </m:rPr>
                <m:t>&lt;</m:t>
              </m:r>
            </m:oMath>
            <w:r>
              <w:rPr>
                <w:b/>
                <w:sz w:val="17"/>
              </w:rPr>
              <w:t>10\%)</w:t>
            </w:r>
          </w:p>
        </w:tc>
        <w:tc>
          <w:tcPr>
            <w:tcW w:type="dxa" w:w="1560"/>
          </w:tcPr>
          <w:p>
            <m:oMath xmlns:a="http://schemas.openxmlformats.org/drawingml/2006/main" xmlns:pic="http://schemas.openxmlformats.org/drawingml/2006/picture">
              <m:r>
                <m:t>R</m:t>
              </m:r>
            </m:oMath>
            <w:r>
              <w:rPr>
                <w:b/>
                <w:sz w:val="17"/>
              </w:rPr>
              <w:t xml:space="preserve"> recovered (</w:t>
            </w:r>
            <m:oMath xmlns:a="http://schemas.openxmlformats.org/drawingml/2006/main" xmlns:pic="http://schemas.openxmlformats.org/drawingml/2006/picture">
              <m:r>
                <m:rPr>
                  <m:sty m:val="p"/>
                </m:rPr>
                <m:t>&lt;</m:t>
              </m:r>
            </m:oMath>
            <w:r>
              <w:rPr>
                <w:b/>
                <w:sz w:val="17"/>
              </w:rPr>
              <w:t>2\%)</w:t>
            </w:r>
          </w:p>
        </w:tc>
      </w:tr>
      <w:tr>
        <w:trPr>
          <w:cantSplit w:val="true"/>
        </w:trPr>
        <w:tc>
          <w:tcPr>
            <w:tcW w:type="dxa" w:w="1560"/>
          </w:tcPr>
          <w:p>
            <w:r>
              <w:rPr>
                <w:sz w:val="17"/>
              </w:rPr>
              <w:t>single-salt I–V</w:t>
            </w:r>
          </w:p>
        </w:tc>
        <w:tc>
          <w:tcPr>
            <w:tcW w:type="dxa" w:w="1560"/>
          </w:tcPr>
          <w:p>
            <w:r>
              <w:rPr>
                <w:sz w:val="17"/>
              </w:rPr>
              <w:t>0.002</w:t>
            </w:r>
          </w:p>
        </w:tc>
        <w:tc>
          <w:tcPr>
            <w:tcW w:type="dxa" w:w="1560"/>
          </w:tcPr>
          <w:p>
            <w:r>
              <w:rPr>
                <w:sz w:val="17"/>
              </w:rPr>
              <w:t>1.0000</w:t>
            </w:r>
          </w:p>
        </w:tc>
        <w:tc>
          <w:tcPr>
            <w:tcW w:type="dxa" w:w="1560"/>
          </w:tcPr>
          <w:p>
            <w:r>
              <w:rPr>
                <w:sz w:val="17"/>
              </w:rPr>
              <w:t>0.0005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single-salt I–V</w:t>
            </w:r>
          </w:p>
        </w:tc>
        <w:tc>
          <w:tcPr>
            <w:tcW w:type="dxa" w:w="1560"/>
          </w:tcPr>
          <w:p>
            <w:r>
              <w:rPr>
                <w:sz w:val="17"/>
              </w:rPr>
              <w:t>0.010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single-salt I–V</w:t>
            </w:r>
          </w:p>
        </w:tc>
        <w:tc>
          <w:tcPr>
            <w:tcW w:type="dxa" w:w="1560"/>
          </w:tcPr>
          <w:p>
            <w:r>
              <w:rPr>
                <w:sz w:val="17"/>
              </w:rPr>
              <w:t>0.020</w:t>
            </w:r>
          </w:p>
        </w:tc>
        <w:tc>
          <w:tcPr>
            <w:tcW w:type="dxa" w:w="1560"/>
          </w:tcPr>
          <w:p>
            <w:r>
              <w:rPr>
                <w:sz w:val="17"/>
              </w:rPr>
              <w:t>0.7703</w:t>
            </w:r>
          </w:p>
        </w:tc>
        <w:tc>
          <w:tcPr>
            <w:tcW w:type="dxa" w:w="1560"/>
          </w:tcPr>
          <w:p>
            <w:r>
              <w:rPr>
                <w:sz w:val="17"/>
              </w:rPr>
              <w:t>0.0065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multi-salt I–V</w:t>
            </w:r>
          </w:p>
        </w:tc>
        <w:tc>
          <w:tcPr>
            <w:tcW w:type="dxa" w:w="1560"/>
          </w:tcPr>
          <w:p>
            <w:r>
              <w:rPr>
                <w:sz w:val="17"/>
              </w:rPr>
              <w:t>0.002</w:t>
            </w:r>
          </w:p>
        </w:tc>
        <w:tc>
          <w:tcPr>
            <w:tcW w:type="dxa" w:w="1560"/>
          </w:tcPr>
          <w:p>
            <w:r>
              <w:rPr>
                <w:sz w:val="17"/>
              </w:rPr>
              <w:t>0.8239</w:t>
            </w:r>
          </w:p>
        </w:tc>
        <w:tc>
          <w:tcPr>
            <w:tcW w:type="dxa" w:w="1560"/>
          </w:tcPr>
          <w:p>
            <w:r>
              <w:rPr>
                <w:sz w:val="17"/>
              </w:rPr>
              <w:t>0.0003</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multi-salt I–V</w:t>
            </w:r>
          </w:p>
        </w:tc>
        <w:tc>
          <w:tcPr>
            <w:tcW w:type="dxa" w:w="1560"/>
          </w:tcPr>
          <w:p>
            <w:r>
              <w:rPr>
                <w:sz w:val="17"/>
              </w:rPr>
              <w:t>0.010</w:t>
            </w:r>
          </w:p>
        </w:tc>
        <w:tc>
          <w:tcPr>
            <w:tcW w:type="dxa" w:w="1560"/>
          </w:tcPr>
          <w:p>
            <w:r>
              <w:rPr>
                <w:sz w:val="17"/>
              </w:rPr>
              <w:t>1.0000</w:t>
            </w:r>
          </w:p>
        </w:tc>
        <w:tc>
          <w:tcPr>
            <w:tcW w:type="dxa" w:w="1560"/>
          </w:tcPr>
          <w:p>
            <w:r>
              <w:rPr>
                <w:sz w:val="17"/>
              </w:rPr>
              <w:t>0.0011</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multi-salt I–V</w:t>
            </w:r>
          </w:p>
        </w:tc>
        <w:tc>
          <w:tcPr>
            <w:tcW w:type="dxa" w:w="1560"/>
          </w:tcPr>
          <w:p>
            <w:r>
              <w:rPr>
                <w:sz w:val="17"/>
              </w:rPr>
              <w:t>0.020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dual (I–V + selectivity)</w:t>
            </w:r>
          </w:p>
        </w:tc>
        <w:tc>
          <w:tcPr>
            <w:tcW w:type="dxa" w:w="1560"/>
          </w:tcPr>
          <w:p>
            <w:r>
              <w:rPr>
                <w:sz w:val="17"/>
              </w:rPr>
              <w:t>0.002</w:t>
            </w:r>
          </w:p>
        </w:tc>
        <w:tc>
          <w:tcPr>
            <w:tcW w:type="dxa" w:w="1560"/>
          </w:tcPr>
          <w:p>
            <w:r>
              <w:rPr>
                <w:sz w:val="17"/>
              </w:rPr>
              <w:t>0.0005</w:t>
            </w:r>
          </w:p>
        </w:tc>
        <w:tc>
          <w:tcPr>
            <w:tcW w:type="dxa" w:w="1560"/>
          </w:tcPr>
          <w:p>
            <w:r>
              <w:rPr>
                <w:sz w:val="17"/>
              </w:rPr>
              <w:t>0.0003</w:t>
            </w:r>
          </w:p>
        </w:tc>
        <w:tc>
          <w:tcPr>
            <w:tcW w:type="dxa" w:w="1560"/>
          </w:tcPr>
          <w:p>
            <w:r>
              <w:rPr>
                <w:sz w:val="17"/>
              </w:rPr>
              <w:t>yes</w:t>
            </w:r>
          </w:p>
        </w:tc>
        <w:tc>
          <w:tcPr>
            <w:tcW w:type="dxa" w:w="1560"/>
          </w:tcPr>
          <w:p>
            <w:r>
              <w:rPr>
                <w:sz w:val="17"/>
              </w:rPr>
              <w:t>yes</w:t>
            </w:r>
          </w:p>
        </w:tc>
      </w:tr>
      <w:tr>
        <w:trPr>
          <w:cantSplit w:val="true"/>
        </w:trPr>
        <w:tc>
          <w:tcPr>
            <w:tcW w:type="dxa" w:w="1560"/>
          </w:tcPr>
          <w:p>
            <w:r>
              <w:rPr>
                <w:sz w:val="17"/>
              </w:rPr>
              <w:t>dual (I–V + selectivity)</w:t>
            </w:r>
          </w:p>
        </w:tc>
        <w:tc>
          <w:tcPr>
            <w:tcW w:type="dxa" w:w="1560"/>
          </w:tcPr>
          <w:p>
            <w:r>
              <w:rPr>
                <w:sz w:val="17"/>
              </w:rPr>
              <w:t>0.010</w:t>
            </w:r>
          </w:p>
        </w:tc>
        <w:tc>
          <w:tcPr>
            <w:tcW w:type="dxa" w:w="1560"/>
          </w:tcPr>
          <w:p>
            <w:r>
              <w:rPr>
                <w:sz w:val="17"/>
              </w:rPr>
              <w:t>0.0024</w:t>
            </w:r>
          </w:p>
        </w:tc>
        <w:tc>
          <w:tcPr>
            <w:tcW w:type="dxa" w:w="1560"/>
          </w:tcPr>
          <w:p>
            <w:r>
              <w:rPr>
                <w:sz w:val="17"/>
              </w:rPr>
              <w:t>0.0008</w:t>
            </w:r>
          </w:p>
        </w:tc>
        <w:tc>
          <w:tcPr>
            <w:tcW w:type="dxa" w:w="1560"/>
          </w:tcPr>
          <w:p>
            <w:r>
              <w:rPr>
                <w:sz w:val="17"/>
              </w:rPr>
              <w:t>yes</w:t>
            </w:r>
          </w:p>
        </w:tc>
        <w:tc>
          <w:tcPr>
            <w:tcW w:type="dxa" w:w="1560"/>
          </w:tcPr>
          <w:p>
            <w:r>
              <w:rPr>
                <w:sz w:val="17"/>
              </w:rPr>
              <w:t>yes</w:t>
            </w:r>
          </w:p>
        </w:tc>
      </w:tr>
      <w:tr>
        <w:trPr>
          <w:cantSplit w:val="true"/>
        </w:trPr>
        <w:tc>
          <w:tcPr>
            <w:tcW w:type="dxa" w:w="1560"/>
          </w:tcPr>
          <w:p>
            <w:r>
              <w:rPr>
                <w:sz w:val="17"/>
              </w:rPr>
              <w:t>dual (I–V + selectivity)</w:t>
            </w:r>
          </w:p>
        </w:tc>
        <w:tc>
          <w:tcPr>
            <w:tcW w:type="dxa" w:w="1560"/>
          </w:tcPr>
          <w:p>
            <w:r>
              <w:rPr>
                <w:sz w:val="17"/>
              </w:rPr>
              <w:t>0.020</w:t>
            </w:r>
          </w:p>
        </w:tc>
        <w:tc>
          <w:tcPr>
            <w:tcW w:type="dxa" w:w="1560"/>
          </w:tcPr>
          <w:p>
            <w:r>
              <w:rPr>
                <w:sz w:val="17"/>
              </w:rPr>
              <w:t>0.0028</w:t>
            </w:r>
          </w:p>
        </w:tc>
        <w:tc>
          <w:tcPr>
            <w:tcW w:type="dxa" w:w="1560"/>
          </w:tcPr>
          <w:p>
            <w:r>
              <w:rPr>
                <w:sz w:val="17"/>
              </w:rPr>
              <w:t>0.0018</w:t>
            </w:r>
          </w:p>
        </w:tc>
        <w:tc>
          <w:tcPr>
            <w:tcW w:type="dxa" w:w="1560"/>
          </w:tcPr>
          <w:p>
            <w:r>
              <w:rPr>
                <w:sz w:val="17"/>
              </w:rPr>
              <w:t>yes</w:t>
            </w:r>
          </w:p>
        </w:tc>
        <w:tc>
          <w:tcPr>
            <w:tcW w:type="dxa" w:w="1560"/>
          </w:tcPr>
          <w:p>
            <w:r>
              <w:rPr>
                <w:sz w:val="17"/>
              </w:rPr>
              <w:t>yes</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Four-way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Scheme</w:t>
            </w:r>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 xml:space="preserve">OOD </w:t>
            </w:r>
            <m:oMath xmlns:a="http://schemas.openxmlformats.org/drawingml/2006/main" xmlns:pic="http://schemas.openxmlformats.org/drawingml/2006/picture">
              <m:r>
                <m:t>ρ</m:t>
              </m:r>
            </m:oMath>
          </w:p>
        </w:tc>
        <w:tc>
          <w:tcPr>
            <w:tcW w:type="dxa" w:w="1560"/>
          </w:tcPr>
          <w:p>
            <w:r>
              <w:rPr>
                <w:b/>
                <w:sz w:val="17"/>
              </w:rPr>
              <w:t>wall-grad.</w:t>
            </w:r>
          </w:p>
        </w:tc>
        <w:tc>
          <w:tcPr>
            <w:tcW w:type="dxa" w:w="1560"/>
          </w:tcPr>
          <w:p>
            <w:r>
              <w:rPr>
                <w:b/>
                <w:sz w:val="17"/>
              </w:rPr>
              <w:t>consistency mismatch</w:t>
            </w:r>
          </w:p>
        </w:tc>
        <w:tc>
          <w:tcPr>
            <w:tcW w:type="dxa" w:w="1560"/>
          </w:tcPr>
          <w:p>
            <w:r>
              <w:rPr>
                <w:b/>
                <w:sz w:val="17"/>
              </w:rPr>
              <w:t xml:space="preserve">min </w:t>
            </w:r>
            <m:oMath xmlns:a="http://schemas.openxmlformats.org/drawingml/2006/main" xmlns:pic="http://schemas.openxmlformats.org/drawingml/2006/picture">
              <m:r>
                <m:t>c</m:t>
              </m:r>
            </m:oMath>
          </w:p>
        </w:tc>
      </w:tr>
      <w:tr>
        <w:trPr>
          <w:cantSplit w:val="true"/>
        </w:trPr>
        <w:tc>
          <w:tcPr>
            <w:tcW w:type="dxa" w:w="1560"/>
          </w:tcPr>
          <w:p>
            <w:r>
              <w:rPr>
                <w:sz w:val="17"/>
              </w:rPr>
              <w:t>hyperbolic reparam. (ours)</w:t>
            </w:r>
          </w:p>
        </w:tc>
        <w:tc>
          <w:tcPr>
            <w:tcW w:type="dxa" w:w="1560"/>
          </w:tcPr>
          <w:p>
            <m:oMath xmlns:a="http://schemas.openxmlformats.org/drawingml/2006/main" xmlns:pic="http://schemas.openxmlformats.org/drawingml/2006/picture">
              <m:r>
                <m:t>0.2066</m:t>
              </m:r>
              <m:r>
                <m:rPr>
                  <m:sty m:val="p"/>
                </m:rPr>
                <m:t>±</m:t>
              </m:r>
              <m:r>
                <m:t>0.0154</m:t>
              </m:r>
            </m:oMath>
          </w:p>
        </w:tc>
        <w:tc>
          <w:tcPr>
            <w:tcW w:type="dxa" w:w="1560"/>
          </w:tcPr>
          <w:p>
            <w:r>
              <w:rPr>
                <w:sz w:val="17"/>
              </w:rPr>
              <w:t>0.2575</w:t>
            </w:r>
          </w:p>
        </w:tc>
        <w:tc>
          <w:tcPr>
            <w:tcW w:type="dxa" w:w="1560"/>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0.992</w:t>
            </w:r>
          </w:p>
        </w:tc>
      </w:tr>
      <w:tr>
        <w:trPr>
          <w:cantSplit w:val="true"/>
        </w:trPr>
        <w:tc>
          <w:tcPr>
            <w:tcW w:type="dxa" w:w="1560"/>
          </w:tcPr>
          <w:p>
            <w:r>
              <w:rPr>
                <w:sz w:val="17"/>
              </w:rPr>
              <w:t>linear orthogonal projection</w:t>
            </w:r>
          </w:p>
        </w:tc>
        <w:tc>
          <w:tcPr>
            <w:tcW w:type="dxa" w:w="1560"/>
          </w:tcPr>
          <w:p>
            <m:oMath xmlns:a="http://schemas.openxmlformats.org/drawingml/2006/main" xmlns:pic="http://schemas.openxmlformats.org/drawingml/2006/picture">
              <m:r>
                <m:t>0.2008</m:t>
              </m:r>
              <m:r>
                <m:rPr>
                  <m:sty m:val="p"/>
                </m:rPr>
                <m:t>±</m:t>
              </m:r>
              <m:r>
                <m:t>0.0206</m:t>
              </m:r>
            </m:oMath>
          </w:p>
        </w:tc>
        <w:tc>
          <w:tcPr>
            <w:tcW w:type="dxa" w:w="1560"/>
          </w:tcPr>
          <w:p>
            <w:r>
              <w:rPr>
                <w:sz w:val="17"/>
              </w:rPr>
              <w:t>0.2598</w:t>
            </w:r>
          </w:p>
        </w:tc>
        <w:tc>
          <w:tcPr>
            <w:tcW w:type="dxa" w:w="1560"/>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560"/>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560"/>
          </w:tcPr>
          <w:p>
            <w:r>
              <w:rPr>
                <w:sz w:val="17"/>
              </w:rPr>
              <w:t>0.992</w:t>
            </w:r>
          </w:p>
        </w:tc>
      </w:tr>
      <w:tr>
        <w:trPr>
          <w:cantSplit w:val="true"/>
        </w:trPr>
        <w:tc>
          <w:tcPr>
            <w:tcW w:type="dxa" w:w="1560"/>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560"/>
          </w:tcPr>
          <w:p>
            <m:oMath xmlns:a="http://schemas.openxmlformats.org/drawingml/2006/main" xmlns:pic="http://schemas.openxmlformats.org/drawingml/2006/picture">
              <m:r>
                <m:t>0.4114</m:t>
              </m:r>
              <m:r>
                <m:rPr>
                  <m:sty m:val="p"/>
                </m:rPr>
                <m:t>±</m:t>
              </m:r>
              <m:r>
                <m:t>0.1871</m:t>
              </m:r>
            </m:oMath>
          </w:p>
        </w:tc>
        <w:tc>
          <w:tcPr>
            <w:tcW w:type="dxa" w:w="1560"/>
          </w:tcPr>
          <w:p>
            <w:r>
              <w:rPr>
                <w:sz w:val="17"/>
              </w:rPr>
              <w:t>0.2835</w:t>
            </w:r>
          </w:p>
        </w:tc>
        <w:tc>
          <w:tcPr>
            <w:tcW w:type="dxa" w:w="1560"/>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0.986</w:t>
            </w:r>
          </w:p>
        </w:tc>
      </w:tr>
      <w:tr>
        <w:trPr>
          <w:cantSplit w:val="true"/>
        </w:trPr>
        <w:tc>
          <w:tcPr>
            <w:tcW w:type="dxa" w:w="1560"/>
          </w:tcPr>
          <w:p>
            <w:r>
              <w:rPr>
                <w:sz w:val="17"/>
              </w:rPr>
              <w:t>direct concentration</w:t>
            </w:r>
          </w:p>
        </w:tc>
        <w:tc>
          <w:tcPr>
            <w:tcW w:type="dxa" w:w="1560"/>
          </w:tcPr>
          <w:p>
            <m:oMath xmlns:a="http://schemas.openxmlformats.org/drawingml/2006/main" xmlns:pic="http://schemas.openxmlformats.org/drawingml/2006/picture">
              <m:r>
                <m:t>0.9334</m:t>
              </m:r>
              <m:r>
                <m:rPr>
                  <m:sty m:val="p"/>
                </m:rPr>
                <m:t>±</m:t>
              </m:r>
              <m:r>
                <m:t>0.0082</m:t>
              </m:r>
            </m:oMath>
          </w:p>
        </w:tc>
        <w:tc>
          <w:tcPr>
            <w:tcW w:type="dxa" w:w="1560"/>
          </w:tcPr>
          <w:p>
            <w:r>
              <w:rPr>
                <w:sz w:val="17"/>
              </w:rPr>
              <w:t>0.8606</w:t>
            </w:r>
          </w:p>
        </w:tc>
        <w:tc>
          <w:tcPr>
            <w:tcW w:type="dxa" w:w="1560"/>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560"/>
          </w:tcPr>
          <w:p>
            <w:r>
              <w:rPr>
                <w:sz w:val="17"/>
              </w:rPr>
              <w:t>0 (exact)</w:t>
            </w:r>
          </w:p>
        </w:tc>
        <w:tc>
          <w:tcPr>
            <w:tcW w:type="dxa" w:w="1560"/>
          </w:tcPr>
          <w:p>
            <w:r>
              <w:rPr>
                <w:sz w:val="17"/>
              </w:rPr>
              <w:t>0.999</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Inverse recovery from five-bias noisy current–voltage curves (1% noise; 400 candidates, 2000 forward evaluations per state). Values are rounded for display; the exact values are in </w:t>
      </w:r>
      <w:r>
        <w:rPr>
          <w:rFonts w:ascii="Consolas" w:hAnsi="Consolas"/>
          <w:sz w:val="19"/>
        </w:rPr>
        <w:t>results/tables/table6_inverse_parameter_recovery.csv</w:t>
      </w:r>
      <w:r>
        <w:t>. For near-zero charge states such as state 175 (true q</w:t>
      </w:r>
      <w:r>
        <w:rPr>
          <w:vertAlign w:val="subscript"/>
        </w:rPr>
        <w:t>w</w:t>
      </w:r>
      <w:r>
        <w:t xml:space="preserve"> = −0.00206, recovered q</w:t>
      </w:r>
      <w:r>
        <w:rPr>
          <w:vertAlign w:val="subscript"/>
        </w:rPr>
        <w:t>w</w:t>
      </w:r>
      <w:r>
        <w:t xml:space="preserve"> = −0.09816), the absolute error is 0.0961 (slightly more than half of the 0.0982 prior width), which appears as a large relative error (46.69) because the denominator |q</w:t>
      </w:r>
      <w:r>
        <w:rPr>
          <w:vertAlign w:val="subscript"/>
        </w:rPr>
        <w:t>w</w:t>
      </w:r>
      <w:r>
        <w:t>| is near zero.</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State</w:t>
            </w:r>
          </w:p>
        </w:tc>
        <w:tc>
          <w:tcPr>
            <w:tcW w:type="dxa" w:w="1170"/>
          </w:tcPr>
          <w:p>
            <m:oMath xmlns:a="http://schemas.openxmlformats.org/drawingml/2006/main" xmlns:pic="http://schemas.openxmlformats.org/drawingml/2006/picture">
              <m:sSub>
                <m:e>
                  <m:r>
                    <m:t>C</m:t>
                  </m:r>
                </m:e>
                <m:sub>
                  <m:r>
                    <m:t>0</m:t>
                  </m:r>
                </m:sub>
              </m:sSub>
            </m:oMath>
            <w:r>
              <w:rPr>
                <w:b/>
                <w:sz w:val="17"/>
              </w:rPr>
              <w:t xml:space="preserve"> (mol </w:t>
            </w:r>
            <m:oMath xmlns:a="http://schemas.openxmlformats.org/drawingml/2006/main" xmlns:pic="http://schemas.openxmlformats.org/drawingml/2006/picture">
              <m:sSup>
                <m:e>
                  <m:r>
                    <m:t>m</m:t>
                  </m:r>
                </m:e>
                <m:sup>
                  <m:r>
                    <m:rPr>
                      <m:sty m:val="p"/>
                    </m:rPr>
                    <m:t>−</m:t>
                  </m:r>
                  <m:r>
                    <m:t>3</m:t>
                  </m:r>
                </m:sup>
              </m:sSup>
            </m:oMath>
            <w:r>
              <w:rPr>
                <w:b/>
                <w:sz w:val="17"/>
              </w:rPr>
              <w:t>)</w:t>
            </w:r>
          </w:p>
        </w:tc>
        <w:tc>
          <w:tcPr>
            <w:tcW w:type="dxa" w:w="1170"/>
          </w:tcPr>
          <w:p>
            <m:oMath xmlns:a="http://schemas.openxmlformats.org/drawingml/2006/main" xmlns:pic="http://schemas.openxmlformats.org/drawingml/2006/picture">
              <m:r>
                <m:t>R</m:t>
              </m:r>
            </m:oMath>
            <w:r>
              <w:rPr>
                <w:b/>
                <w:sz w:val="17"/>
              </w:rPr>
              <w:t xml:space="preserve"> true (nm)</w:t>
            </w:r>
          </w:p>
        </w:tc>
        <w:tc>
          <w:tcPr>
            <w:tcW w:type="dxa" w:w="1170"/>
          </w:tcPr>
          <w:p>
            <m:oMath xmlns:a="http://schemas.openxmlformats.org/drawingml/2006/main" xmlns:pic="http://schemas.openxmlformats.org/drawingml/2006/picture">
              <m:r>
                <m:t>R</m:t>
              </m:r>
            </m:oMath>
            <w:r>
              <w:rPr>
                <w:b/>
                <w:sz w:val="17"/>
              </w:rPr>
              <w:t xml:space="preserve"> recovered (nm)</w:t>
            </w:r>
          </w:p>
        </w:tc>
        <w:tc>
          <w:tcPr>
            <w:tcW w:type="dxa" w:w="1170"/>
          </w:tcPr>
          <w:p>
            <m:oMath xmlns:a="http://schemas.openxmlformats.org/drawingml/2006/main" xmlns:pic="http://schemas.openxmlformats.org/drawingml/2006/picture">
              <m:r>
                <m:t>R</m:t>
              </m:r>
            </m:oMath>
            <w:r>
              <w:rPr>
                <w:b/>
                <w:sz w:val="17"/>
              </w:rPr>
              <w:t xml:space="preserve"> rel. error</w:t>
            </w:r>
          </w:p>
        </w:tc>
        <w:tc>
          <w:tcPr>
            <w:tcW w:type="dxa" w:w="1170"/>
          </w:tcPr>
          <w:p>
            <m:oMath xmlns:a="http://schemas.openxmlformats.org/drawingml/2006/main" xmlns:pic="http://schemas.openxmlformats.org/drawingml/2006/picture">
              <m:sSub>
                <m:e>
                  <m:r>
                    <m:t>q</m:t>
                  </m:r>
                </m:e>
                <m:sub>
                  <m:r>
                    <m:t>w</m:t>
                  </m:r>
                </m:sub>
              </m:sSub>
            </m:oMath>
            <w:r>
              <w:rPr>
                <w:b/>
                <w:sz w:val="17"/>
              </w:rPr>
              <w:t xml:space="preserve"> true</w:t>
            </w:r>
          </w:p>
        </w:tc>
        <w:tc>
          <w:tcPr>
            <w:tcW w:type="dxa" w:w="1170"/>
          </w:tcPr>
          <w:p>
            <m:oMath xmlns:a="http://schemas.openxmlformats.org/drawingml/2006/main" xmlns:pic="http://schemas.openxmlformats.org/drawingml/2006/picture">
              <m:sSub>
                <m:e>
                  <m:r>
                    <m:t>q</m:t>
                  </m:r>
                </m:e>
                <m:sub>
                  <m:r>
                    <m:t>w</m:t>
                  </m:r>
                </m:sub>
              </m:sSub>
            </m:oMath>
            <w:r>
              <w:rPr>
                <w:b/>
                <w:sz w:val="17"/>
              </w:rPr>
              <w:t xml:space="preserve"> recovered</w:t>
            </w:r>
          </w:p>
        </w:tc>
        <w:tc>
          <w:tcPr>
            <w:tcW w:type="dxa" w:w="1170"/>
          </w:tcPr>
          <w:p>
            <m:oMath xmlns:a="http://schemas.openxmlformats.org/drawingml/2006/main" xmlns:pic="http://schemas.openxmlformats.org/drawingml/2006/picture">
              <m:sSub>
                <m:e>
                  <m:r>
                    <m:t>q</m:t>
                  </m:r>
                </m:e>
                <m:sub>
                  <m:r>
                    <m:t>w</m:t>
                  </m:r>
                </m:sub>
              </m:sSub>
            </m:oMath>
            <w:r>
              <w:rPr>
                <w:b/>
                <w:sz w:val="17"/>
              </w:rPr>
              <w:t xml:space="preserve"> rel. error</w:t>
            </w:r>
          </w:p>
        </w:tc>
      </w:tr>
      <w:tr>
        <w:trPr>
          <w:cantSplit w:val="true"/>
        </w:trPr>
        <w:tc>
          <w:tcPr>
            <w:tcW w:type="dxa" w:w="1170"/>
          </w:tcPr>
          <w:p>
            <w:r>
              <w:rPr>
                <w:sz w:val="17"/>
              </w:rPr>
              <w:t>175</w:t>
            </w:r>
          </w:p>
        </w:tc>
        <w:tc>
          <w:tcPr>
            <w:tcW w:type="dxa" w:w="1170"/>
          </w:tcPr>
          <w:p>
            <w:r>
              <w:rPr>
                <w:sz w:val="17"/>
              </w:rPr>
              <w:t>27.2</w:t>
            </w:r>
          </w:p>
        </w:tc>
        <w:tc>
          <w:tcPr>
            <w:tcW w:type="dxa" w:w="1170"/>
          </w:tcPr>
          <w:p>
            <w:r>
              <w:rPr>
                <w:sz w:val="17"/>
              </w:rPr>
              <w:t>6.083</w:t>
            </w:r>
          </w:p>
        </w:tc>
        <w:tc>
          <w:tcPr>
            <w:tcW w:type="dxa" w:w="1170"/>
          </w:tcPr>
          <w:p>
            <w:r>
              <w:rPr>
                <w:sz w:val="17"/>
              </w:rPr>
              <w:t>6.085</w:t>
            </w:r>
          </w:p>
        </w:tc>
        <w:tc>
          <w:tcPr>
            <w:tcW w:type="dxa" w:w="1170"/>
          </w:tcPr>
          <w:p>
            <w:r>
              <w:rPr>
                <w:sz w:val="17"/>
              </w:rPr>
              <w:t>0.0003</w:t>
            </w:r>
          </w:p>
        </w:tc>
        <w:tc>
          <w:tcPr>
            <w:tcW w:type="dxa" w:w="1170"/>
          </w:tcPr>
          <w:p>
            <w:r>
              <w:rPr>
                <w:sz w:val="17"/>
              </w:rPr>
              <w:t>−0.00206</w:t>
            </w:r>
          </w:p>
        </w:tc>
        <w:tc>
          <w:tcPr>
            <w:tcW w:type="dxa" w:w="1170"/>
          </w:tcPr>
          <w:p>
            <w:r>
              <w:rPr>
                <w:sz w:val="17"/>
              </w:rPr>
              <w:t>−0.09816</w:t>
            </w:r>
          </w:p>
        </w:tc>
        <w:tc>
          <w:tcPr>
            <w:tcW w:type="dxa" w:w="1170"/>
          </w:tcPr>
          <w:p>
            <w:r>
              <w:rPr>
                <w:sz w:val="17"/>
              </w:rPr>
              <w:t>46.69</w:t>
            </w:r>
          </w:p>
        </w:tc>
      </w:tr>
      <w:tr>
        <w:trPr>
          <w:cantSplit w:val="true"/>
        </w:trPr>
        <w:tc>
          <w:tcPr>
            <w:tcW w:type="dxa" w:w="1170"/>
          </w:tcPr>
          <w:p>
            <w:r>
              <w:rPr>
                <w:sz w:val="17"/>
              </w:rPr>
              <w:t>147</w:t>
            </w:r>
          </w:p>
        </w:tc>
        <w:tc>
          <w:tcPr>
            <w:tcW w:type="dxa" w:w="1170"/>
          </w:tcPr>
          <w:p>
            <w:r>
              <w:rPr>
                <w:sz w:val="17"/>
              </w:rPr>
              <w:t>93.3</w:t>
            </w:r>
          </w:p>
        </w:tc>
        <w:tc>
          <w:tcPr>
            <w:tcW w:type="dxa" w:w="1170"/>
          </w:tcPr>
          <w:p>
            <w:r>
              <w:rPr>
                <w:sz w:val="17"/>
              </w:rPr>
              <w:t>6.918</w:t>
            </w:r>
          </w:p>
        </w:tc>
        <w:tc>
          <w:tcPr>
            <w:tcW w:type="dxa" w:w="1170"/>
          </w:tcPr>
          <w:p>
            <w:r>
              <w:rPr>
                <w:sz w:val="17"/>
              </w:rPr>
              <w:t>6.870</w:t>
            </w:r>
          </w:p>
        </w:tc>
        <w:tc>
          <w:tcPr>
            <w:tcW w:type="dxa" w:w="1170"/>
          </w:tcPr>
          <w:p>
            <w:r>
              <w:rPr>
                <w:sz w:val="17"/>
              </w:rPr>
              <w:t>0.0069</w:t>
            </w:r>
          </w:p>
        </w:tc>
        <w:tc>
          <w:tcPr>
            <w:tcW w:type="dxa" w:w="1170"/>
          </w:tcPr>
          <w:p>
            <w:r>
              <w:rPr>
                <w:sz w:val="17"/>
              </w:rPr>
              <w:t>−0.03770</w:t>
            </w:r>
          </w:p>
        </w:tc>
        <w:tc>
          <w:tcPr>
            <w:tcW w:type="dxa" w:w="1170"/>
          </w:tcPr>
          <w:p>
            <w:r>
              <w:rPr>
                <w:sz w:val="17"/>
              </w:rPr>
              <w:t>−0.07835</w:t>
            </w:r>
          </w:p>
        </w:tc>
        <w:tc>
          <w:tcPr>
            <w:tcW w:type="dxa" w:w="1170"/>
          </w:tcPr>
          <w:p>
            <w:r>
              <w:rPr>
                <w:sz w:val="17"/>
              </w:rPr>
              <w:t>1.078</w:t>
            </w:r>
          </w:p>
        </w:tc>
      </w:tr>
      <w:tr>
        <w:trPr>
          <w:cantSplit w:val="true"/>
        </w:trPr>
        <w:tc>
          <w:tcPr>
            <w:tcW w:type="dxa" w:w="1170"/>
          </w:tcPr>
          <w:p>
            <w:r>
              <w:rPr>
                <w:sz w:val="17"/>
              </w:rPr>
              <w:t>154</w:t>
            </w:r>
          </w:p>
        </w:tc>
        <w:tc>
          <w:tcPr>
            <w:tcW w:type="dxa" w:w="1170"/>
          </w:tcPr>
          <w:p>
            <w:r>
              <w:rPr>
                <w:sz w:val="17"/>
              </w:rPr>
              <w:t>51.1</w:t>
            </w:r>
          </w:p>
        </w:tc>
        <w:tc>
          <w:tcPr>
            <w:tcW w:type="dxa" w:w="1170"/>
          </w:tcPr>
          <w:p>
            <w:r>
              <w:rPr>
                <w:sz w:val="17"/>
              </w:rPr>
              <w:t>3.362</w:t>
            </w:r>
          </w:p>
        </w:tc>
        <w:tc>
          <w:tcPr>
            <w:tcW w:type="dxa" w:w="1170"/>
          </w:tcPr>
          <w:p>
            <w:r>
              <w:rPr>
                <w:sz w:val="17"/>
              </w:rPr>
              <w:t>3.344</w:t>
            </w:r>
          </w:p>
        </w:tc>
        <w:tc>
          <w:tcPr>
            <w:tcW w:type="dxa" w:w="1170"/>
          </w:tcPr>
          <w:p>
            <w:r>
              <w:rPr>
                <w:sz w:val="17"/>
              </w:rPr>
              <w:t>0.0054</w:t>
            </w:r>
          </w:p>
        </w:tc>
        <w:tc>
          <w:tcPr>
            <w:tcW w:type="dxa" w:w="1170"/>
          </w:tcPr>
          <w:p>
            <w:r>
              <w:rPr>
                <w:sz w:val="17"/>
              </w:rPr>
              <w:t>−0.03711</w:t>
            </w:r>
          </w:p>
        </w:tc>
        <w:tc>
          <w:tcPr>
            <w:tcW w:type="dxa" w:w="1170"/>
          </w:tcPr>
          <w:p>
            <w:r>
              <w:rPr>
                <w:sz w:val="17"/>
              </w:rPr>
              <w:t>−0.09816</w:t>
            </w:r>
          </w:p>
        </w:tc>
        <w:tc>
          <w:tcPr>
            <w:tcW w:type="dxa" w:w="1170"/>
          </w:tcPr>
          <w:p>
            <w:r>
              <w:rPr>
                <w:sz w:val="17"/>
              </w:rPr>
              <w:t>1.645</w:t>
            </w:r>
          </w:p>
        </w:tc>
      </w:tr>
      <w:tr>
        <w:trPr>
          <w:cantSplit w:val="true"/>
        </w:trPr>
        <w:tc>
          <w:tcPr>
            <w:tcW w:type="dxa" w:w="1170"/>
          </w:tcPr>
          <w:p>
            <w:r>
              <w:rPr>
                <w:sz w:val="17"/>
              </w:rPr>
              <w:t>172</w:t>
            </w:r>
          </w:p>
        </w:tc>
        <w:tc>
          <w:tcPr>
            <w:tcW w:type="dxa" w:w="1170"/>
          </w:tcPr>
          <w:p>
            <w:r>
              <w:rPr>
                <w:sz w:val="17"/>
              </w:rPr>
              <w:t>103.9</w:t>
            </w:r>
          </w:p>
        </w:tc>
        <w:tc>
          <w:tcPr>
            <w:tcW w:type="dxa" w:w="1170"/>
          </w:tcPr>
          <w:p>
            <w:r>
              <w:rPr>
                <w:sz w:val="17"/>
              </w:rPr>
              <w:t>7.276</w:t>
            </w:r>
          </w:p>
        </w:tc>
        <w:tc>
          <w:tcPr>
            <w:tcW w:type="dxa" w:w="1170"/>
          </w:tcPr>
          <w:p>
            <w:r>
              <w:rPr>
                <w:sz w:val="17"/>
              </w:rPr>
              <w:t>7.302</w:t>
            </w:r>
          </w:p>
        </w:tc>
        <w:tc>
          <w:tcPr>
            <w:tcW w:type="dxa" w:w="1170"/>
          </w:tcPr>
          <w:p>
            <w:r>
              <w:rPr>
                <w:sz w:val="17"/>
              </w:rPr>
              <w:t>0.0036</w:t>
            </w:r>
          </w:p>
        </w:tc>
        <w:tc>
          <w:tcPr>
            <w:tcW w:type="dxa" w:w="1170"/>
          </w:tcPr>
          <w:p>
            <w:r>
              <w:rPr>
                <w:sz w:val="17"/>
              </w:rPr>
              <w:t>−0.04557</w:t>
            </w:r>
          </w:p>
        </w:tc>
        <w:tc>
          <w:tcPr>
            <w:tcW w:type="dxa" w:w="1170"/>
          </w:tcPr>
          <w:p>
            <w:r>
              <w:rPr>
                <w:sz w:val="17"/>
              </w:rPr>
              <w:t>−0.09816</w:t>
            </w:r>
          </w:p>
        </w:tc>
        <w:tc>
          <w:tcPr>
            <w:tcW w:type="dxa" w:w="1170"/>
          </w:tcPr>
          <w:p>
            <w:r>
              <w:rPr>
                <w:sz w:val="17"/>
              </w:rPr>
              <w:t>1.154</w:t>
            </w:r>
          </w:p>
        </w:tc>
      </w:tr>
      <w:tr>
        <w:trPr>
          <w:cantSplit w:val="true"/>
        </w:trPr>
        <w:tc>
          <w:tcPr>
            <w:tcW w:type="dxa" w:w="1170"/>
          </w:tcPr>
          <w:p>
            <w:r>
              <w:rPr>
                <w:sz w:val="17"/>
              </w:rPr>
              <w:t>161</w:t>
            </w:r>
          </w:p>
        </w:tc>
        <w:tc>
          <w:tcPr>
            <w:tcW w:type="dxa" w:w="1170"/>
          </w:tcPr>
          <w:p>
            <w:r>
              <w:rPr>
                <w:sz w:val="17"/>
              </w:rPr>
              <w:t>140.2</w:t>
            </w:r>
          </w:p>
        </w:tc>
        <w:tc>
          <w:tcPr>
            <w:tcW w:type="dxa" w:w="1170"/>
          </w:tcPr>
          <w:p>
            <w:r>
              <w:rPr>
                <w:sz w:val="17"/>
              </w:rPr>
              <w:t>3.917</w:t>
            </w:r>
          </w:p>
        </w:tc>
        <w:tc>
          <w:tcPr>
            <w:tcW w:type="dxa" w:w="1170"/>
          </w:tcPr>
          <w:p>
            <w:r>
              <w:rPr>
                <w:sz w:val="17"/>
              </w:rPr>
              <w:t>3.935</w:t>
            </w:r>
          </w:p>
        </w:tc>
        <w:tc>
          <w:tcPr>
            <w:tcW w:type="dxa" w:w="1170"/>
          </w:tcPr>
          <w:p>
            <w:r>
              <w:rPr>
                <w:sz w:val="17"/>
              </w:rPr>
              <w:t>0.0046</w:t>
            </w:r>
          </w:p>
        </w:tc>
        <w:tc>
          <w:tcPr>
            <w:tcW w:type="dxa" w:w="1170"/>
          </w:tcPr>
          <w:p>
            <w:r>
              <w:rPr>
                <w:sz w:val="17"/>
              </w:rPr>
              <w:t>−0.02875</w:t>
            </w:r>
          </w:p>
        </w:tc>
        <w:tc>
          <w:tcPr>
            <w:tcW w:type="dxa" w:w="1170"/>
          </w:tcPr>
          <w:p>
            <w:r>
              <w:rPr>
                <w:sz w:val="17"/>
              </w:rPr>
              <w:t>−0.00978</w:t>
            </w:r>
          </w:p>
        </w:tc>
        <w:tc>
          <w:tcPr>
            <w:tcW w:type="dxa" w:w="1170"/>
          </w:tcPr>
          <w:p>
            <w:r>
              <w:rPr>
                <w:sz w:val="17"/>
              </w:rPr>
              <w:t>0.660</w:t>
            </w:r>
          </w:p>
        </w:tc>
      </w:tr>
    </w:tbl>
    <w:p>
      <w:pPr>
        <w:spacing w:after="120"/>
      </w:pPr>
    </w:p>
    <w:p>
      <w:r>
        <w:rPr>
          <w:b/>
        </w:rPr>
        <w:t>Supplementary Table S19.</w:t>
      </w:r>
      <w:r>
        <w:t xml:space="preserve"> Exact SG/FV versus neural-operator Fisher and Jacobian validation. Centered finite differences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are compared with the operator Jacobian over 15 held-out states and three protocols (four non-zero biases; salts 10, 30, and 100 mol </w:t>
      </w:r>
      <m:oMath xmlns:a="http://schemas.openxmlformats.org/drawingml/2006/main" xmlns:pic="http://schemas.openxmlformats.org/drawingml/2006/picture">
        <m:sSup>
          <m:e>
            <m:r>
              <m:t>m</m:t>
            </m:r>
          </m:e>
          <m:sup>
            <m:r>
              <m:rPr>
                <m:sty m:val="p"/>
              </m:rPr>
              <m:t>−</m:t>
            </m:r>
            <m:r>
              <m:t>3</m:t>
            </m:r>
          </m:sup>
        </m:sSup>
      </m:oMath>
      <w:r>
        <w:t xml:space="preserve"> for the multi-salt and dual protocols).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1.99997</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1.5</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3120"/>
          </w:tcPr>
          <w:p>
            <m:oMath xmlns:a="http://schemas.openxmlformats.org/drawingml/2006/main" xmlns:pic="http://schemas.openxmlformats.org/drawingml/2006/picture">
              <m:r>
                <m:t>2.1</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1.2</m:t>
              </m:r>
              <m:r>
                <m:rPr>
                  <m:sty m:val="p"/>
                </m:rPr>
                <m:t>×</m:t>
              </m:r>
              <m:sSup>
                <m:e>
                  <m:r>
                    <m:t>10</m:t>
                  </m:r>
                </m:e>
                <m:sup>
                  <m:r>
                    <m:rPr>
                      <m:sty m:val="p"/>
                    </m:rPr>
                    <m:t>−</m:t>
                  </m:r>
                  <m:r>
                    <m:t>4</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4.9</m:t>
              </m:r>
              <m:r>
                <m:rPr>
                  <m:sty m:val="p"/>
                </m:rPr>
                <m:t>×</m:t>
              </m:r>
              <m:sSup>
                <m:e>
                  <m:r>
                    <m:t>10</m:t>
                  </m:r>
                </m:e>
                <m:sup>
                  <m:r>
                    <m:t>15</m:t>
                  </m:r>
                </m:sup>
              </m:sSup>
            </m:oMath>
          </w:p>
        </w:tc>
        <w:tc>
          <w:tcPr>
            <w:tcW w:type="dxa" w:w="3120"/>
          </w:tcPr>
          <w:p>
            <m:oMath xmlns:a="http://schemas.openxmlformats.org/drawingml/2006/main" xmlns:pic="http://schemas.openxmlformats.org/drawingml/2006/picture">
              <m:r>
                <m:t>8.2</m:t>
              </m:r>
              <m:r>
                <m:rPr>
                  <m:sty m:val="p"/>
                </m:rPr>
                <m:t>×</m:t>
              </m:r>
              <m:sSup>
                <m:e>
                  <m:r>
                    <m:t>10</m:t>
                  </m:r>
                </m:e>
                <m:sup>
                  <m:r>
                    <m:t>8</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multi-salt</w:t>
            </w:r>
          </w:p>
        </w:tc>
        <w:tc>
          <w:tcPr>
            <w:tcW w:type="dxa" w:w="3120"/>
          </w:tcPr>
          <w:p>
            <m:oMath xmlns:a="http://schemas.openxmlformats.org/drawingml/2006/main" xmlns:pic="http://schemas.openxmlformats.org/drawingml/2006/picture">
              <m:r>
                <m:t>8.7</m:t>
              </m:r>
              <m:r>
                <m:rPr>
                  <m:sty m:val="p"/>
                </m:rPr>
                <m:t>×</m:t>
              </m:r>
              <m:sSup>
                <m:e>
                  <m:r>
                    <m:t>10</m:t>
                  </m:r>
                </m:e>
                <m:sup>
                  <m:r>
                    <m:t>9</m:t>
                  </m:r>
                </m:sup>
              </m:sSup>
            </m:oMath>
          </w:p>
        </w:tc>
        <w:tc>
          <w:tcPr>
            <w:tcW w:type="dxa" w:w="3120"/>
          </w:tcPr>
          <w:p>
            <m:oMath xmlns:a="http://schemas.openxmlformats.org/drawingml/2006/main" xmlns:pic="http://schemas.openxmlformats.org/drawingml/2006/picture">
              <m:r>
                <m:t>4.5</m:t>
              </m:r>
              <m:r>
                <m:rPr>
                  <m:sty m:val="p"/>
                </m:rPr>
                <m:t>×</m:t>
              </m:r>
              <m:sSup>
                <m:e>
                  <m:r>
                    <m:t>10</m:t>
                  </m:r>
                </m:e>
                <m:sup>
                  <m:r>
                    <m:t>7</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dual</w:t>
            </w:r>
          </w:p>
        </w:tc>
        <w:tc>
          <w:tcPr>
            <w:tcW w:type="dxa" w:w="3120"/>
          </w:tcPr>
          <w:p>
            <m:oMath xmlns:a="http://schemas.openxmlformats.org/drawingml/2006/main" xmlns:pic="http://schemas.openxmlformats.org/drawingml/2006/picture">
              <m:r>
                <m:t>1.8</m:t>
              </m:r>
              <m:r>
                <m:rPr>
                  <m:sty m:val="p"/>
                </m:rPr>
                <m:t>×</m:t>
              </m:r>
              <m:sSup>
                <m:e>
                  <m:r>
                    <m:t>10</m:t>
                  </m:r>
                </m:e>
                <m:sup>
                  <m:r>
                    <m:t>5</m:t>
                  </m:r>
                </m:sup>
              </m:sSup>
            </m:oMath>
          </w:p>
        </w:tc>
        <w:tc>
          <w:tcPr>
            <w:tcW w:type="dxa" w:w="3120"/>
          </w:tcPr>
          <w:p>
            <m:oMath xmlns:a="http://schemas.openxmlformats.org/drawingml/2006/main" xmlns:pic="http://schemas.openxmlformats.org/drawingml/2006/picture">
              <m:r>
                <m:t>1.8</m:t>
              </m:r>
              <m:r>
                <m:rPr>
                  <m:sty m:val="p"/>
                </m:rPr>
                <m:t>×</m:t>
              </m:r>
              <m:sSup>
                <m:e>
                  <m:r>
                    <m:t>10</m:t>
                  </m:r>
                </m:e>
                <m:sup>
                  <m:r>
                    <m:t>5</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20" w:line="240" w:lineRule="auto"/>
        <w:ind w:left="360"/>
      </w:pPr>
      <w:r>
        <w:rPr>
          <w:rFonts w:ascii="Courier New" w:hAnsi="Courier New"/>
          <w:sz w:val="17"/>
        </w:rPr>
        <w:t>Require: parameter box B = [-50,50] mV x [20,200] M x [-0.05,0] x [3,8] nm</w:t>
      </w:r>
    </w:p>
    <w:p>
      <w:pPr>
        <w:pStyle w:val="NoSpacing"/>
        <w:spacing w:before="0" w:after="20" w:line="240" w:lineRule="auto"/>
        <w:ind w:left="360"/>
      </w:pPr>
      <w:r>
        <w:rPr>
          <w:rFonts w:ascii="Courier New" w:hAnsi="Courier New"/>
          <w:sz w:val="17"/>
        </w:rPr>
        <w:t>Require: grid (nr,nz) = (21,61); seeds {42,43,44};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training-split mean and standard deviation</w:t>
      </w:r>
    </w:p>
    <w:p>
      <w:pPr>
        <w:pStyle w:val="NoSpacing"/>
        <w:spacing w:before="0" w:after="20" w:line="240" w:lineRule="auto"/>
        <w:ind w:left="360"/>
      </w:pPr>
      <w:r>
        <w:rPr>
          <w:rFonts w:ascii="Courier New" w:hAnsi="Courier New"/>
          <w:sz w:val="17"/>
        </w:rPr>
        <w:t xml:space="preserve"> 4:   build the exact-reservoir ansatz: psi = V(1-z) + z(1-z) G_psi;</w:t>
      </w:r>
    </w:p>
    <w:p>
      <w:pPr>
        <w:pStyle w:val="NoSpacing"/>
        <w:spacing w:before="0" w:after="20" w:line="240" w:lineRule="auto"/>
        <w:ind w:left="360"/>
      </w:pPr>
      <w:r>
        <w:rPr>
          <w:rFonts w:ascii="Courier New" w:hAnsi="Courier New"/>
          <w:sz w:val="17"/>
        </w:rPr>
        <w:t xml:space="preserve">       s = 2 exp(clip(z(1-z) G_s)); rho = z(1-z) G_rho</w:t>
      </w:r>
    </w:p>
    <w:p>
      <w:pPr>
        <w:pStyle w:val="NoSpacing"/>
        <w:spacing w:before="0" w:after="20" w:line="240" w:lineRule="auto"/>
        <w:ind w:left="360"/>
      </w:pPr>
      <w:r>
        <w:rPr>
          <w:rFonts w:ascii="Courier New" w:hAnsi="Courier New"/>
          <w:sz w:val="17"/>
        </w:rPr>
        <w:t xml:space="preserve"> 5:   reconstruct c_pm = (sqrt(s^2+rho^2) +/- rho)/2  (positivity + exact charge)</w:t>
      </w:r>
    </w:p>
    <w:p>
      <w:pPr>
        <w:pStyle w:val="NoSpacing"/>
        <w:spacing w:before="0" w:after="20" w:line="240" w:lineRule="auto"/>
        <w:ind w:left="360"/>
      </w:pPr>
      <w:r>
        <w:rPr>
          <w:rFonts w:ascii="Courier New" w:hAnsi="Courier New"/>
          <w:sz w:val="17"/>
        </w:rPr>
        <w:t xml:space="preserve"> 6:   for epoch = 1..E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back-propagate L = L_data + 1e-3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SG-post-processed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The empirical effect is an 8.63-fold (DeepONet) and 10.29-fold (FNO) reduction in interp-test net-charge error.</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Five held-out interpolation states: indices 175, 147, 154, 172, and 161. They span </w:t>
      </w:r>
      <m:oMath xmlns:a="http://schemas.openxmlformats.org/drawingml/2006/main" xmlns:pic="http://schemas.openxmlformats.org/drawingml/2006/picture">
        <m:sSub>
          <m:e>
            <m:r>
              <m:t>C</m:t>
            </m:r>
          </m:e>
          <m:sub>
            <m:r>
              <m:t>0</m:t>
            </m:r>
          </m:sub>
        </m:sSub>
        <m:r>
          <m:rPr>
            <m:sty m:val="p"/>
          </m:rPr>
          <m:t>=</m:t>
        </m:r>
        <m:r>
          <m:t>27.2</m:t>
        </m:r>
      </m:oMath>
      <w:r>
        <w:t>–</w:t>
      </w:r>
      <m:oMath xmlns:a="http://schemas.openxmlformats.org/drawingml/2006/main" xmlns:pic="http://schemas.openxmlformats.org/drawingml/2006/picture">
        <m:r>
          <m:t>140.2</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3.362</m:t>
        </m:r>
      </m:oMath>
      <w:r>
        <w:t>–</w:t>
      </w:r>
      <m:oMath xmlns:a="http://schemas.openxmlformats.org/drawingml/2006/main" xmlns:pic="http://schemas.openxmlformats.org/drawingml/2006/picture">
        <m:r>
          <m:t>7.276</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0.04557</m:t>
        </m:r>
      </m:oMath>
      <w:r>
        <w:t xml:space="preserve"> to </w:t>
      </w:r>
      <m:oMath xmlns:a="http://schemas.openxmlformats.org/drawingml/2006/main" xmlns:pic="http://schemas.openxmlformats.org/drawingml/2006/picture">
        <m:r>
          <m:rPr>
            <m:sty m:val="p"/>
          </m:rPr>
          <m:t>−</m:t>
        </m:r>
        <m:r>
          <m:t>0.00206</m:t>
        </m:r>
      </m:oMath>
      <w:r>
        <w:t>.</w:t>
      </w:r>
    </w:p>
    <w:p>
      <w:r>
        <w:rPr>
          <w:b/>
        </w:rPr>
        <w:t>Measurement.</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multiplied by </w:t>
      </w:r>
      <m:oMath xmlns:a="http://schemas.openxmlformats.org/drawingml/2006/main" xmlns:pic="http://schemas.openxmlformats.org/drawingml/2006/picture">
        <m:r>
          <m:t>1</m:t>
        </m:r>
        <m:r>
          <m:rPr>
            <m:sty m:val="p"/>
          </m:rPr>
          <m:t>+</m:t>
        </m:r>
        <m:r>
          <m:t>0.01</m:t>
        </m:r>
        <m:r>
          <m:t> </m:t>
        </m:r>
        <m:r>
          <m:rPr>
            <m:scr m:val="script"/>
            <m:sty m:val="p"/>
          </m:rPr>
          <m:t>N</m:t>
        </m:r>
        <m:r>
          <m:rPr>
            <m:sty m:val="p"/>
          </m:rPr>
          <m:t>(</m:t>
        </m:r>
        <m:r>
          <m:t>0</m:t>
        </m:r>
        <m:r>
          <m:rPr>
            <m:sty m:val="p"/>
          </m:rPr>
          <m:t>,</m:t>
        </m:r>
        <m:r>
          <m:t>1</m:t>
        </m:r>
        <m:r>
          <m:rPr>
            <m:sty m:val="p"/>
          </m:rPr>
          <m:t>)</m:t>
        </m:r>
      </m:oMath>
      <w:r>
        <w:t xml:space="preserve"> with a fixed seed per state.</w:t>
      </w:r>
    </w:p>
    <w:p>
      <w:r>
        <w:rPr>
          <w:b/>
        </w:rPr>
        <w:t>Search.</w:t>
      </w:r>
      <w:r>
        <w:t xml:space="preserve">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in the dataset box (</w:t>
      </w:r>
      <m:oMath xmlns:a="http://schemas.openxmlformats.org/drawingml/2006/main" xmlns:pic="http://schemas.openxmlformats.org/drawingml/2006/picture">
        <m:sSub>
          <m:e>
            <m:r>
              <m:t>q</m:t>
            </m:r>
          </m:e>
          <m:sub>
            <m:r>
              <m:t>w</m:t>
            </m:r>
          </m:sub>
        </m:sSub>
        <m:r>
          <m:rPr>
            <m:sty m:val="p"/>
          </m:rPr>
          <m:t>∈</m:t>
        </m:r>
        <m:r>
          <m:rPr>
            <m:sty m:val="p"/>
          </m:rPr>
          <m:t>[</m:t>
        </m:r>
        <m:r>
          <m:rPr>
            <m:sty m:val="p"/>
          </m:rPr>
          <m:t>−</m:t>
        </m:r>
        <m:r>
          <m:t>0.09815884117319931</m:t>
        </m:r>
        <m:r>
          <m:rPr>
            <m:sty m:val="p"/>
          </m:rPr>
          <m:t>,</m:t>
        </m:r>
        <m:r>
          <m:t>0</m:t>
        </m:r>
        <m:r>
          <m:rPr>
            <m:sty m:val="p"/>
          </m:rPr>
          <m:t>]</m:t>
        </m:r>
      </m:oMath>
      <w:r>
        <w:t xml:space="preserve">, </w:t>
      </w:r>
      <m:oMath xmlns:a="http://schemas.openxmlformats.org/drawingml/2006/main" xmlns:pic="http://schemas.openxmlformats.org/drawingml/2006/picture">
        <m:r>
          <m:t>R</m:t>
        </m:r>
        <m:r>
          <m:rPr>
            <m:sty m:val="p"/>
          </m:rPr>
          <m:t>∈</m:t>
        </m:r>
        <m:r>
          <m:rPr>
            <m:sty m:val="p"/>
          </m:rPr>
          <m:t>[</m:t>
        </m:r>
        <m:r>
          <m:t>2.0265975267620897</m:t>
        </m:r>
        <m:r>
          <m:rPr>
            <m:sty m:val="p"/>
          </m:rPr>
          <m:t>,</m:t>
        </m:r>
        <m:r>
          <m:t>8</m:t>
        </m:r>
        <m:r>
          <m:rPr>
            <m:sty m:val="p"/>
          </m:rPr>
          <m:t>]</m:t>
        </m:r>
      </m:oMath>
      <w:r>
        <w:t xml:space="preserve">), evaluated at the five biases (2000 forward evaluations per state). The best three candidates are refined with Nelder–Mead (bounded by clipping, 400 iterations, objective tolerance </w:t>
      </w:r>
      <m:oMath xmlns:a="http://schemas.openxmlformats.org/drawingml/2006/main" xmlns:pic="http://schemas.openxmlformats.org/drawingml/2006/picture">
        <m:sSup>
          <m:e>
            <m:r>
              <m:t>10</m:t>
            </m:r>
          </m:e>
          <m:sup>
            <m:r>
              <m:rPr>
                <m:sty m:val="p"/>
              </m:rPr>
              <m:t>−</m:t>
            </m:r>
            <m:r>
              <m:t>12</m:t>
            </m:r>
          </m:sup>
        </m:sSup>
      </m:oMath>
      <w:r>
        <w:t>).</w:t>
      </w:r>
    </w:p>
    <w:p>
      <w:r>
        <w:rPr>
          <w:b/>
        </w:rPr>
        <w:t>Identifiability diagnostic.</w:t>
      </w:r>
      <w:r>
        <w:t xml:space="preserve"> At the recovered radius, the cost is profiled over 41 values of </w:t>
      </w:r>
      <m:oMath xmlns:a="http://schemas.openxmlformats.org/drawingml/2006/main" xmlns:pic="http://schemas.openxmlformats.org/drawingml/2006/picture">
        <m:sSub>
          <m:e>
            <m:r>
              <m:t>q</m:t>
            </m:r>
          </m:e>
          <m:sub>
            <m:r>
              <m:t>w</m:t>
            </m:r>
          </m:sub>
        </m:sSub>
      </m:oMath>
      <w:r>
        <w:t xml:space="preserve"> spanning the prior. The 1%-noise floor is </w:t>
      </w:r>
      <m:oMath xmlns:a="http://schemas.openxmlformats.org/drawingml/2006/main" xmlns:pic="http://schemas.openxmlformats.org/drawingml/2006/picture">
        <m:r>
          <m:rPr>
            <m:sty m:val="p"/>
          </m:rPr>
          <m:t>Δ</m:t>
        </m:r>
        <m:r>
          <m:rPr>
            <m:sty m:val="p"/>
          </m:rPr>
          <m:t>c</m:t>
        </m:r>
        <m:r>
          <m:rPr>
            <m:sty m:val="p"/>
          </m:rPr>
          <m:t>o</m:t>
        </m:r>
        <m:r>
          <m:rPr>
            <m:sty m:val="p"/>
          </m:rPr>
          <m:t>s</m:t>
        </m:r>
        <m:r>
          <m:rPr>
            <m:sty m:val="p"/>
          </m:rPr>
          <m:t>t</m:t>
        </m:r>
        <m:r>
          <m:rPr>
            <m:sty m:val="p"/>
          </m:rPr>
          <m:t>=</m:t>
        </m:r>
        <m:sSup>
          <m:e>
            <m:r>
              <m:t>10</m:t>
            </m:r>
          </m:e>
          <m:sup>
            <m:r>
              <m:rPr>
                <m:sty m:val="p"/>
              </m:rPr>
              <m:t>−</m:t>
            </m:r>
            <m:r>
              <m:t>4</m:t>
            </m:r>
          </m:sup>
        </m:sSup>
      </m:oMath>
      <w:r>
        <w:t xml:space="preserve">; the set of </w:t>
      </w:r>
      <m:oMath xmlns:a="http://schemas.openxmlformats.org/drawingml/2006/main" xmlns:pic="http://schemas.openxmlformats.org/drawingml/2006/picture">
        <m:sSub>
          <m:e>
            <m:r>
              <m:t>q</m:t>
            </m:r>
          </m:e>
          <m:sub>
            <m:r>
              <m:t>w</m:t>
            </m:r>
          </m:sub>
        </m:sSub>
      </m:oMath>
      <w:r>
        <w:t xml:space="preserve"> values within that floor spans the full prior width (0.09816) for all five states. The maximum relative current change across the prior is 0.0009625.</w:t>
      </w:r>
    </w:p>
    <w:p>
      <w:r>
        <w:rPr>
          <w:b/>
        </w:rPr>
        <w:t>Interpretation.</w:t>
      </w:r>
      <w:r>
        <w:t xml:space="preserve"> Radius is identifiable because the current magnitude and slope constrain the pore cross-section. Fixed charge is not identifiable because the total conductance of a symmetric electrolyte with nearly equal diffusivities is almost invariant to Donnan polarization. This is a property of the measurement, not of the operator. A charge-sensitive observable would break the degeneracy.</w:t>
      </w:r>
    </w:p>
    <w:p>
      <w:r>
        <w:rPr>
          <w:b/>
        </w:rPr>
        <w:t>Results.</w:t>
      </w:r>
      <w:r>
        <w:t xml:space="preserve"> See Supplementary Table S18 and </w:t>
      </w:r>
      <w:r>
        <w:rPr>
          <w:rFonts w:ascii="Consolas" w:hAnsi="Consolas"/>
          <w:sz w:val="19"/>
        </w:rPr>
        <w:t>results/tables/table6_inverse_parameter_recovery.csv</w:t>
      </w:r>
      <w:r>
        <w:t xml:space="preserve">. Median radius error 0.004574; median </w:t>
      </w:r>
      <m:oMath xmlns:a="http://schemas.openxmlformats.org/drawingml/2006/main" xmlns:pic="http://schemas.openxmlformats.org/drawingml/2006/picture">
        <m:sSub>
          <m:e>
            <m:r>
              <m:t>q</m:t>
            </m:r>
          </m:e>
          <m:sub>
            <m:r>
              <m:t>w</m:t>
            </m:r>
          </m:sub>
        </m:sSub>
      </m:oMath>
      <w:r>
        <w:t xml:space="preserve"> error 1.154; median surface-charge-density error 1.146. Grid wall time per state 0.1253 s; equivalent SG/FV time 402.6 s; speed-up 3214.</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sSub>
          <m:e>
            <m:r>
              <m:t>λ</m:t>
            </m:r>
          </m:e>
          <m:sub>
            <m:r>
              <m:t>D</m:t>
            </m:r>
          </m:sub>
        </m:sSub>
        <m:r>
          <m:rPr>
            <m:sty m:val="p"/>
          </m:rPr>
          <m:t>/</m:t>
        </m:r>
        <m:r>
          <m:t>R</m:t>
        </m:r>
        <m:r>
          <m:rPr>
            <m:sty m:val="p"/>
          </m:rPr>
          <m:t>∈</m:t>
        </m:r>
        <m:r>
          <m:rPr>
            <m:sty m:val="p"/>
          </m:rPr>
          <m:t>[</m:t>
        </m:r>
        <m:r>
          <m:t>0.05</m:t>
        </m:r>
        <m:r>
          <m:rPr>
            <m:sty m:val="p"/>
          </m:rPr>
          <m:t>,</m:t>
        </m:r>
        <m:r>
          <m:t>0.55</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and </w:t>
      </w:r>
      <m:oMath xmlns:a="http://schemas.openxmlformats.org/drawingml/2006/main" xmlns:pic="http://schemas.openxmlformats.org/drawingml/2006/picture">
        <m:r>
          <m:rPr>
            <m:sty m:val="p"/>
          </m:rPr>
          <m:t>|</m:t>
        </m:r>
        <m:sSub>
          <m:e>
            <m:r>
              <m:t>q</m:t>
            </m:r>
          </m:e>
          <m:sub>
            <m:r>
              <m:t>w</m:t>
            </m:r>
          </m:sub>
        </m:sSub>
        <m:r>
          <m:rPr>
            <m:sty m:val="p"/>
          </m:rPr>
          <m:t>|</m:t>
        </m:r>
        <m:r>
          <m:rPr>
            <m:sty m:val="p"/>
          </m:rPr>
          <m:t>∈</m:t>
        </m:r>
        <m:r>
          <m:rPr>
            <m:sty m:val="p"/>
          </m:rPr>
          <m:t>[</m:t>
        </m:r>
        <m:r>
          <m:t>0.005</m:t>
        </m:r>
        <m:r>
          <m:rPr>
            <m:sty m:val="p"/>
          </m:rPr>
          <m:t>,</m:t>
        </m:r>
        <m:r>
          <m:t>0.05</m:t>
        </m:r>
        <m:r>
          <m:rPr>
            <m:sty m:val="p"/>
          </m:rPr>
          <m:t>]</m:t>
        </m:r>
      </m:oMath>
      <w:r>
        <w:t xml:space="preserve">.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2.029</m:t>
        </m:r>
      </m:oMath>
      <w:r>
        <w:t xml:space="preserve"> (range 2.028–2.032, i.e.\ the current scales as the pore area) while the 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1.9</m:t>
        </m:r>
        <m:r>
          <m:rPr>
            <m:sty m:val="p"/>
          </m:rPr>
          <m:t>×</m:t>
        </m:r>
        <m:sSup>
          <m:e>
            <m:r>
              <m:t>10</m:t>
            </m:r>
          </m:e>
          <m:sup>
            <m:r>
              <m:rPr>
                <m:sty m:val="p"/>
              </m:rPr>
              <m:t>−</m:t>
            </m:r>
            <m:r>
              <m:t>4</m:t>
            </m:r>
          </m:sup>
        </m:sSup>
      </m:oMath>
      <w:r>
        <w:t xml:space="preserve"> (maximum </w:t>
      </w:r>
      <m:oMath xmlns:a="http://schemas.openxmlformats.org/drawingml/2006/main" xmlns:pic="http://schemas.openxmlformats.org/drawingml/2006/picture">
        <m:r>
          <m:t>1.6</m:t>
        </m:r>
        <m:r>
          <m:rPr>
            <m:sty m:val="p"/>
          </m:rPr>
          <m:t>×</m:t>
        </m:r>
        <m:sSup>
          <m:e>
            <m:r>
              <m:t>10</m:t>
            </m:r>
          </m:e>
          <m:sup>
            <m:r>
              <m:rPr>
                <m:sty m:val="p"/>
              </m:rPr>
              <m:t>−</m:t>
            </m:r>
            <m:r>
              <m:t>3</m:t>
            </m:r>
          </m:sup>
        </m:sSup>
      </m:oMath>
      <w:r>
        <w:t xml:space="preserve">), giving a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for every operating point, which is why conductance-only inversion cannot recover </w:t>
      </w:r>
      <m:oMath xmlns:a="http://schemas.openxmlformats.org/drawingml/2006/main" xmlns:pic="http://schemas.openxmlformats.org/drawingml/2006/picture">
        <m:sSub>
          <m:e>
            <m:r>
              <m:t>q</m:t>
            </m:r>
          </m:e>
          <m:sub>
            <m:r>
              <m:t>w</m:t>
            </m:r>
          </m:sub>
        </m:sSub>
      </m:oMath>
      <w:r>
        <w:t xml:space="preserve">. The single-salt conductance sensitivity to </w:t>
      </w:r>
      <m:oMath xmlns:a="http://schemas.openxmlformats.org/drawingml/2006/main" xmlns:pic="http://schemas.openxmlformats.org/drawingml/2006/picture">
        <m:sSub>
          <m:e>
            <m:r>
              <m:t>q</m:t>
            </m:r>
          </m:e>
          <m:sub>
            <m:r>
              <m:t>w</m:t>
            </m:r>
          </m:sub>
        </m:sSub>
      </m:oMath>
      <w:r>
        <w:t xml:space="preserve"> does grow at low salinity (relative spread of </w:t>
      </w:r>
      <m:oMath xmlns:a="http://schemas.openxmlformats.org/drawingml/2006/main" xmlns:pic="http://schemas.openxmlformats.org/drawingml/2006/picture">
        <m:r>
          <m:rPr>
            <m:sty m:val="p"/>
          </m:rPr>
          <m:t>|</m:t>
        </m:r>
        <m:r>
          <m:t>I</m:t>
        </m:r>
        <m:r>
          <m:rPr>
            <m:sty m:val="p"/>
          </m:rPr>
          <m:t>|</m:t>
        </m:r>
      </m:oMath>
      <w:r>
        <w:t xml:space="preserve"> over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but remains below the measurement noise, so multi-salt I–V alone is still insufficient; the independent near-wall selectivity observable is what breaks the degeneracy.</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S14, and S19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Stage-10 studies (trunk ablation, 384-state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--epochs-ablation 500 --epochs-scaling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Stage-11 reviewer upgrades (4-way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Stage-13 diffusivity-asymmetry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