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20 October 2026</w:t>
      </w:r>
    </w:p>
    <w:p/>
    <w:p>
      <w:r>
        <w:rPr>
          <w:b/>
        </w:rPr>
        <w:t>To the Editors-in-Chief</w:t>
      </w:r>
    </w:p>
    <w:p>
      <w:r>
        <w:rPr>
          <w:i/>
        </w:rPr>
        <w:t>Computer Physics Communications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"Conductance identifiability limits and physics-constrained neural operators for axisymmetric Poisson--Nernst--Planck transport in charged nanopores"</w:t>
      </w:r>
      <w:r>
        <w:t xml:space="preserve"> for consideration at </w:t>
      </w:r>
      <w:r>
        <w:rPr>
          <w:i/>
        </w:rPr>
        <w:t>Computer Physics Communications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Computer Physics Communications</w:t>
      </w:r>
      <w:r>
        <w:t xml:space="preserve"> because its primary deliverable is a reusable, documented, and reproducible computational package. The submission includes a CPC Program Summary, an MIT-licensed public repository, trained PyTorch and ONNX models, a serverless browser simulator, and a full reproducibility package with archived result files. The study is framed explicitly as a computational-physics instrument: its contribution is the elimination of per-state retraining for design, uncertainty-quantification, and inverse workflows, not a claim of superiority over specialized solvers.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direct-concentration output.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15-state, three-protocol study reveal a physical conductance identifiability boundary: the pore radius is recoverable from a five-bias current–voltage curve to 0.46%, whereas the surface charge is a flat direction whose current signature stays below the 1% noise floor at every operating point. Neither single-salt nor multi-salt current–voltage data resolve that charge; adding an independent near-wall selectivity observable recovers both radius and wall charge to below 0.3%. The contrast is a limitation of the measurement, not of the surrogate or solver: the exact SG/FV Fisher matrix gives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xml:space="preserve"> for conductance-only protocols.</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1.5</m:t>
        </m:r>
        <m:r>
          <m:t>i</m:t>
        </m:r>
        <m:r>
          <m:t>m</m:t>
        </m:r>
        <m:r>
          <m:t>e</m:t>
        </m:r>
        <m:r>
          <m:t>s</m:t>
        </m:r>
        <m:sSup>
          <m:e>
            <m:r>
              <m:t>10</m:t>
            </m:r>
          </m:e>
          <m:sup>
            <m:r>
              <m:rPr>
                <m:sty m:val="p"/>
              </m:rPr>
              <m:t>−</m:t>
            </m:r>
            <m:r>
              <m:t>4</m:t>
            </m:r>
          </m:sup>
        </m:sSup>
      </m:oMath>
      <w:r>
        <w:t>, and both collapse the charge-conditioning number by ten orders of magnitude once the near-wall selectivity observable is added.</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xml:space="preserve">, 0.966, 0.655, 0.20) and two salinities. Even NaCl leaves the single-salt condition number above </w:t>
      </w:r>
      <m:oMath xmlns:a="http://schemas.openxmlformats.org/drawingml/2006/main" xmlns:pic="http://schemas.openxmlformats.org/drawingml/2006/picture">
        <m:sSup>
          <m:e>
            <m:r>
              <m:t>10</m:t>
            </m:r>
          </m:e>
          <m:sup>
            <m:r>
              <m:t>16</m:t>
            </m:r>
          </m:sup>
        </m:sSup>
      </m:oMath>
      <w:r>
        <w:t>, while adding the near-wall selectivity observable reduces it by six to ten orders of magnitude. The released package and portal expose the Jacobian and Fisher construction so that experimentalists can optimize bias, salinity, and observable combinations before fabricating or measuring a pore.</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