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Conductance identifiability limits and physics-constrained neural operators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to fields in 0.072 ms on one CPU.</w:t>
      </w:r>
    </w:p>
    <w:p>
      <w:pPr>
        <w:pStyle w:val="ListBullet"/>
      </w:pPr>
      <w:r>
        <w:t>Charge-balanced sum/difference outputs cut net-charge error 8.63–10.29-fold.</w:t>
      </w:r>
    </w:p>
    <w:p>
      <w:pPr>
        <w:pStyle w:val="ListBullet"/>
      </w:pPr>
      <w:r>
        <w:t>Exact SG/FV Jacobians confirm the operator's conductance sensitivities.</w:t>
      </w:r>
    </w:p>
    <w:p>
      <w:pPr>
        <w:pStyle w:val="ListBullet"/>
      </w:pPr>
      <w:r>
        <w:t>Wall charge is unidentifiable from conductance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sSup>
          <m:e>
            <m:r>
              <m:t>10</m:t>
            </m:r>
          </m:e>
          <m:sup>
            <m:r>
              <m:t>8</m:t>
            </m:r>
          </m:sup>
        </m:sSup>
      </m:oMath>
      <w:r>
        <w:t>).</w:t>
      </w:r>
    </w:p>
    <w:p>
      <w:pPr>
        <w:pStyle w:val="ListBullet"/>
      </w:pPr>
      <w:r>
        <w:t>A near-wall selectivity probe recovers radius and charge below 0.3%.</w:t>
      </w:r>
    </w:p>
    <w:p>
      <w:pPr>
        <w:pStyle w:val="Heading2"/>
      </w:pPr>
      <w:r>
        <w:t>Abstract</w:t>
      </w:r>
    </w:p>
    <w:p>
      <w:r>
        <w:t xml:space="preserve">Inferring nanopore surface charge and geometry from ionic current–voltage measurements is a central inverse problem in nanofluidic sensing, yet repeated Poisson–Nernst–Planck (PNP) solves are too slow for exhaustive identifiability mapping and single-state physics-informed networks require retraining per operating point. We address both with PINO-Nanopore, a validated, exact-boundary, charge-balanced operator for steady axisymmetric PNP transport over voltage, salinity, wall charge, and radius, used as a high-throughput instrument to map what conductance can and cannot identify. A conservative Scharfetter–Gummel solver generates a 240-state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A multi-scale radial physics-informed DeepONet (36,880 parameters) and a real-DFT Fourier neural operator (460,488 parameters) predict a positive geometric salt scale and net charge and reconstruct concentrations hyperbolically, so reservoir data and the charge identity hold exactly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On held-out states the DeepONet reaches relative </w:t>
      </w:r>
      <m:oMath xmlns:a="http://schemas.openxmlformats.org/drawingml/2006/main" xmlns:pic="http://schemas.openxmlformats.org/drawingml/2006/picture">
        <m:sSub>
          <m:e>
            <m:r>
              <m:t>L</m:t>
            </m:r>
          </m:e>
          <m:sub>
            <m:r>
              <m:t>2</m:t>
            </m:r>
          </m:sub>
        </m:sSub>
      </m:oMath>
      <w:r>
        <w:t xml:space="preserve"> errors of 0.0008914 for potential and 0.001093 for current, and 0.001363 out of distribution, at 0.072 ms per state on one CPU. Verified against exact float64 SG/FV Jacobians (median agreement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Fisher analysis proves fixed wall charge unidentifiable for symmetric binary electrolytes with nearly equal ionic diffusivities, such as KCl,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sSup>
          <m:e>
            <m:r>
              <m:t>10</m:t>
            </m:r>
          </m:e>
          <m:sup>
            <m:r>
              <m:t>8</m:t>
            </m:r>
          </m:sup>
        </m:sSup>
      </m:oMath>
      <w:r>
        <w:t>), and a near-wall Donnan selectivity observable collapses the conditioning by ten orders, recovering radius and charge below 0.3%. Unequal diffusivities add a linear but still ill-conditioned charge channel. A four-way constraint benchmark, a physics-weight sweep, and an out-of-distribution error decomposition isolate the design choices. The package is deployed in browser and Gradio interfaces with a live reference solver.</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S1–S20)</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(four schemes, three seeds), exact SG/FV Jacobian validation (1200 reference solves), and Stage-12 diagnostics add about four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[35], airflow [36], wave [37], consolidation [38], further benchmark problems [39], and microseismic [40] problems,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controlled four-way benchmark shows that the accuracy gain comes from decoupling the </w:t>
      </w:r>
      <m:oMath xmlns:a="http://schemas.openxmlformats.org/drawingml/2006/main" xmlns:pic="http://schemas.openxmlformats.org/drawingml/2006/picture">
        <m:r>
          <m:t>O</m:t>
        </m:r>
        <m:r>
          <m:rPr>
            <m:sty m:val="p"/>
          </m:rPr>
          <m:t>(</m:t>
        </m:r>
        <m:r>
          <m:t>1</m:t>
        </m:r>
        <m:r>
          <m:rPr>
            <m:sty m:val="p"/>
          </m:rPr>
          <m:t>)</m:t>
        </m:r>
      </m:oMath>
      <w:r>
        <w:t xml:space="preserve"> total ion concentration from the small net-charge difference, a mechanism that the hyperbolic map and the linear projection share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xml:space="preserve"> interpolation-test net-charge error), and that the hyperbolic map is preferred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Softplus clipping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the exact Fisher matrix confirms that fixed wall charge is a near-null direction at every operating point (</w:t>
      </w:r>
      <m:oMath xmlns:a="http://schemas.openxmlformats.org/drawingml/2006/main" xmlns:pic="http://schemas.openxmlformats.org/drawingml/2006/picture">
        <m:r>
          <m:t>18</m:t>
        </m:r>
        <m:r>
          <m:rPr>
            <m:sty m:val="p"/>
          </m:rPr>
          <m:t>×</m:t>
        </m:r>
        <m:r>
          <m:t>18</m:t>
        </m:r>
      </m:oMath>
      <w:r>
        <w:t xml:space="preserve"> plane sweep: minimum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9.9</m:t>
        </m:r>
        <m:r>
          <m:rPr>
            <m:sty m:val="p"/>
          </m:rPr>
          <m:t>×</m:t>
        </m:r>
        <m:sSup>
          <m:e>
            <m:r>
              <m:t>10</m:t>
            </m:r>
          </m:e>
          <m:sup>
            <m:r>
              <m:t>7</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plane above </w:t>
      </w:r>
      <m:oMath xmlns:a="http://schemas.openxmlformats.org/drawingml/2006/main" xmlns:pic="http://schemas.openxmlformats.org/drawingml/2006/picture">
        <m:sSup>
          <m:e>
            <m:r>
              <m:t>10</m:t>
            </m:r>
          </m:e>
          <m:sup>
            <m:r>
              <m:t>8</m:t>
            </m:r>
          </m:sup>
        </m:sSup>
      </m:oMath>
      <w:r>
        <w:t>), that single- and multi-salt current–voltage protocols leave it unidentifiable at 1% noise, and that a near-wall Donnan selectivity observable collapses the conditioning by ten orders of magnitude and recovers radius and charge below 0.3%.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boundary imposition in the benchmark and applied PDE settings above [34–40].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For the inverse demonstration, five held-out interpolation states are selected to span the charge and radius ranges. At each state, a five-bias current–voltage curve is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and 1% Gaussian noise is added. The operator then evaluates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at the same five biases (2000 forward evaluations) and refines the best candidates with Nelder–Mead. Radius, surface charge density, and their relative errors are recorded. The flat direction of the objective in </w:t>
      </w:r>
      <m:oMath xmlns:a="http://schemas.openxmlformats.org/drawingml/2006/main" xmlns:pic="http://schemas.openxmlformats.org/drawingml/2006/picture">
        <m:sSub>
          <m:e>
            <m:r>
              <m:t>q</m:t>
            </m:r>
          </m:e>
          <m:sub>
            <m:r>
              <m:t>w</m:t>
            </m:r>
          </m:sub>
        </m:sSub>
      </m:oMath>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r>
        <w:t xml:space="preserve">To separate a measurement limitation from a surrogate limitation, the inverse study is repeated as a controlled identifiability experiment over 15 held-out states and three measurement protocols. Protocol 1 (single-salt) uses one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to probe the EDL-overlap regime; Protocol 3 (dual) adds a near-wall Donnan selectivity observable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oMath>
      <w:r>
        <w:t xml:space="preserve"> evaluated at </w:t>
      </w:r>
      <m:oMath xmlns:a="http://schemas.openxmlformats.org/drawingml/2006/main" xmlns:pic="http://schemas.openxmlformats.org/drawingml/2006/picture">
        <m:r>
          <m:t>r</m:t>
        </m:r>
        <m:r>
          <m:rPr>
            <m:sty m:val="p"/>
          </m:rPr>
          <m:t>=</m:t>
        </m:r>
        <m:r>
          <m:t>1</m:t>
        </m:r>
      </m:oMath>
      <w:r>
        <w:t xml:space="preserve"> to the multi-salt current–voltage data. For each protocol and each relative noise level (0.2%, 1%, 2%) the operator inverts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and the median relative errors over the 15 states are reported. In parallel, a </w:t>
      </w:r>
      <m:oMath xmlns:a="http://schemas.openxmlformats.org/drawingml/2006/main" xmlns:pic="http://schemas.openxmlformats.org/drawingml/2006/picture">
        <m:r>
          <m:t>18</m:t>
        </m:r>
        <m:r>
          <m:rPr>
            <m:sty m:val="p"/>
          </m:rPr>
          <m:t>×</m:t>
        </m:r>
        <m:r>
          <m:t>18</m:t>
        </m:r>
      </m:oMath>
      <w:r>
        <w:t xml:space="preserve"> Fisher-information sweep over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computes the dimensionless sensitivity Jacobian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sSub>
          <m:e>
            <m:r>
              <m:t>q</m:t>
            </m:r>
          </m:e>
          <m:sub>
            <m:r>
              <m:t>w</m:t>
            </m:r>
          </m:sub>
        </m:sSub>
        <m:r>
          <m:rPr>
            <m:sty m:val="p"/>
          </m:rPr>
          <m:t>)</m:t>
        </m:r>
      </m:oMath>
      <w:r>
        <w:t xml:space="preserve"> and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the non-zero bias points are used because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carries no current information. The results are reported in Section 3.9 and Supplementary Table S9, and visualized in the identifiability and inverse-recovery panels of Figures 3 and 6.</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The reason is subtractive cancellation: independent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errors are amplified in their small difference, whereas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that cancellation. The four-way benchmark (Figure 3A,B; Supplementary Table S11) shows that this decoupling, shared by the algebraic projection and the hyperbolic map, is the dominant driver: both reduce the error about 4.5-fold relative to direct outputs, and their mutual difference (</w:t>
      </w:r>
      <m:oMath xmlns:a="http://schemas.openxmlformats.org/drawingml/2006/main" xmlns:pic="http://schemas.openxmlformats.org/drawingml/2006/picture">
        <m:r>
          <m:t>0.201</m:t>
        </m:r>
        <m:r>
          <m:rPr>
            <m:sty m:val="p"/>
          </m:rPr>
          <m:t>±</m:t>
        </m:r>
        <m:r>
          <m:t>0.021</m:t>
        </m:r>
      </m:oMath>
      <w:r>
        <w:t xml:space="preserve"> versus </w:t>
      </w:r>
      <m:oMath xmlns:a="http://schemas.openxmlformats.org/drawingml/2006/main" xmlns:pic="http://schemas.openxmlformats.org/drawingml/2006/picture">
        <m:r>
          <m:t>0.207</m:t>
        </m:r>
        <m:r>
          <m:rPr>
            <m:sty m:val="p"/>
          </m:rPr>
          <m:t>±</m:t>
        </m:r>
        <m:r>
          <m:t>0.015</m:t>
        </m:r>
      </m:oMath>
      <w:r>
        <w:t xml:space="preserve">) is within seed noise. Because they are statistically indistinguishable, the choice is structural.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four constraint schemes on the identical PI-DeepONet backbone;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four schemes; the hyperbolic reconstruction and the direct scheme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rPr>
          <w:sz w:val="18"/>
        </w:rPr>
        <w:t xml:space="preserve"> plane with white contours at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the current is insensitive to wall charge at every operating point.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with </w:t>
      </w:r>
      <m:oMath xmlns:a="http://schemas.openxmlformats.org/drawingml/2006/main" xmlns:pic="http://schemas.openxmlformats.org/drawingml/2006/picture">
        <m:r>
          <m:t>99.7</m:t>
        </m:r>
        <m:r>
          <m:rPr>
            <m:sty m:val="p"/>
          </m:rPr>
          <m:t>%</m:t>
        </m:r>
      </m:oMath>
      <w:r>
        <w:t xml:space="preserve">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exact-versus-operator Fisher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15 held-out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the absolute charge sensitivity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(D) Median Fisher condition number </w:t>
      </w:r>
      <m:oMath xmlns:a="http://schemas.openxmlformats.org/drawingml/2006/main" xmlns:pic="http://schemas.openxmlformats.org/drawingml/2006/picture">
        <m:r>
          <m:t>κ</m:t>
        </m:r>
        <m:r>
          <m:rPr>
            <m:sty m:val="p"/>
          </m:rPr>
          <m:t>(</m:t>
        </m:r>
        <m:r>
          <m:rPr>
            <m:scr m:val="script"/>
            <m:sty m:val="p"/>
          </m:rPr>
          <m:t>F</m:t>
        </m:r>
        <m:r>
          <m:rPr>
            <m:sty m:val="p"/>
          </m:rPr>
          <m:t>)</m:t>
        </m:r>
      </m:oMath>
      <w:r>
        <w:rPr>
          <w:sz w:val="18"/>
        </w:rPr>
        <w:t xml:space="preserve"> for the single-salt, multi-salt, and dual protocols, comparing the exact SG/FV Jacobian with the operator; both collapse by ten orders of magnitude once the near-wall selectivity observable is added.</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 xml:space="preserve">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demonstration asks what can be inferred from a noisy current–voltage curve alone. For five held-out states the operator recovers the pore radius with a median relative error of 0.004574 (0.46%), because the current scales with the pore cross-section and the five-bias slope fixes the conductance scale. Surface charge is not identifiable at the same noise. Across the full charge prior, the median state-level change in predicted current at the recovered radius is 0.0009625 (0.096%) and the largest is 0.0019 (0.19%), both below the 1% noise floor; the objective is therefore flat in </w:t>
      </w:r>
      <m:oMath xmlns:a="http://schemas.openxmlformats.org/drawingml/2006/main" xmlns:pic="http://schemas.openxmlformats.org/drawingml/2006/picture">
        <m:sSub>
          <m:e>
            <m:r>
              <m:t>q</m:t>
            </m:r>
          </m:e>
          <m:sub>
            <m:r>
              <m:t>w</m:t>
            </m:r>
          </m:sub>
        </m:sSub>
      </m:oMath>
      <w:r>
        <w:t xml:space="preserve">. The median relative </w:t>
      </w:r>
      <m:oMath xmlns:a="http://schemas.openxmlformats.org/drawingml/2006/main" xmlns:pic="http://schemas.openxmlformats.org/drawingml/2006/picture">
        <m:sSub>
          <m:e>
            <m:r>
              <m:t>q</m:t>
            </m:r>
          </m:e>
          <m:sub>
            <m:r>
              <m:t>w</m:t>
            </m:r>
          </m:sub>
        </m:sSub>
      </m:oMath>
      <w:r>
        <w:t xml:space="preserve"> error is 1.154 (absolute 0.0526, slightly more than half of the 0.0982 prior width), and the median absolute radius error is 0.0181 nm; Supplementary Table S18 reports relative and per-state values.</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
          <m:t> </m:t>
        </m:r>
        <m:r>
          <m:rPr>
            <m:sty m:val="p"/>
          </m:rPr>
          <m:t>Σ</m:t>
        </m:r>
        <m:r>
          <m:t>c</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 xml:space="preserve">The multi-protocol experiment confirms this interpretation and shows how to break the degeneracy (Supplementary Table S9). Over 15 held-out states, single-salt current–voltage inversion leaves the median </w:t>
      </w:r>
      <m:oMath xmlns:a="http://schemas.openxmlformats.org/drawingml/2006/main" xmlns:pic="http://schemas.openxmlformats.org/drawingml/2006/picture">
        <m:sSub>
          <m:e>
            <m:r>
              <m:t>q</m:t>
            </m:r>
          </m:e>
          <m:sub>
            <m:r>
              <m:t>w</m:t>
            </m:r>
          </m:sub>
        </m:sSub>
      </m:oMath>
      <w:r>
        <w:t xml:space="preserve"> error at 0.77–1.00 at all three noise levels, and the multi-salt protocol improves the low-salinity charge sensitivity roughly tenfold (relative spread of </w:t>
      </w:r>
      <m:oMath xmlns:a="http://schemas.openxmlformats.org/drawingml/2006/main" xmlns:pic="http://schemas.openxmlformats.org/drawingml/2006/picture">
        <m:r>
          <m:rPr>
            <m:sty m:val="p"/>
          </m:rPr>
          <m:t>|</m:t>
        </m:r>
        <m:r>
          <m:t>I</m:t>
        </m:r>
        <m:r>
          <m:rPr>
            <m:sty m:val="p"/>
          </m:rPr>
          <m:t>|</m:t>
        </m:r>
      </m:oMath>
      <w:r>
        <w:t xml:space="preserve"> over the charge prior: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but still leaves the median </w:t>
      </w:r>
      <m:oMath xmlns:a="http://schemas.openxmlformats.org/drawingml/2006/main" xmlns:pic="http://schemas.openxmlformats.org/drawingml/2006/picture">
        <m:sSub>
          <m:e>
            <m:r>
              <m:t>q</m:t>
            </m:r>
          </m:e>
          <m:sub>
            <m:r>
              <m:t>w</m:t>
            </m:r>
          </m:sub>
        </m:sSub>
      </m:oMath>
      <w:r>
        <w:t xml:space="preserve"> error at 0.82–1.00, because the gain stays below the noise floor. Both protocols recover radius to better than 0.7%. Adding </w:t>
      </w:r>
      <m:oMath xmlns:a="http://schemas.openxmlformats.org/drawingml/2006/main" xmlns:pic="http://schemas.openxmlformats.org/drawingml/2006/picture">
        <m:r>
          <m:t>S</m:t>
        </m:r>
      </m:oMath>
      <w:r>
        <w:t xml:space="preserve"> recovers </w:t>
      </w:r>
      <m:oMath xmlns:a="http://schemas.openxmlformats.org/drawingml/2006/main" xmlns:pic="http://schemas.openxmlformats.org/drawingml/2006/picture">
        <m:sSub>
          <m:e>
            <m:r>
              <m:t>q</m:t>
            </m:r>
          </m:e>
          <m:sub>
            <m:r>
              <m:t>w</m:t>
            </m:r>
          </m:sub>
        </m:sSub>
      </m:oMath>
      <w:r>
        <w:t xml:space="preserve"> with median relative error 0.0005–0.0028 and </w:t>
      </w:r>
      <m:oMath xmlns:a="http://schemas.openxmlformats.org/drawingml/2006/main" xmlns:pic="http://schemas.openxmlformats.org/drawingml/2006/picture">
        <m:r>
          <m:t>R</m:t>
        </m:r>
      </m:oMath>
      <w:r>
        <w:t xml:space="preserve"> with 0.0003–0.0018 across the same noise levels, i.e. both parameters below 0.3%. The exact SG/FV Jacobian validation closes the loop (Figure 6C,D; Supplementary Table S19): the two sensitivities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a median relative difference of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(both 2.000), the exact single-salt </w:t>
      </w:r>
      <m:oMath xmlns:a="http://schemas.openxmlformats.org/drawingml/2006/main" xmlns:pic="http://schemas.openxmlformats.org/drawingml/2006/picture">
        <m:r>
          <m:t>κ</m:t>
        </m:r>
      </m:oMath>
      <w:r>
        <w:t xml:space="preserve"> is </w:t>
      </w:r>
      <m:oMath xmlns:a="http://schemas.openxmlformats.org/drawingml/2006/main" xmlns:pic="http://schemas.openxmlformats.org/drawingml/2006/picture">
        <m:r>
          <m:t>4.9</m:t>
        </m:r>
        <m:r>
          <m:rPr>
            <m:sty m:val="p"/>
          </m:rPr>
          <m:t>×</m:t>
        </m:r>
        <m:sSup>
          <m:e>
            <m:r>
              <m:t>10</m:t>
            </m:r>
          </m:e>
          <m:sup>
            <m:r>
              <m:t>15</m:t>
            </m:r>
          </m:sup>
        </m:sSup>
      </m:oMath>
      <w:r>
        <w:t xml:space="preserve"> versus </w:t>
      </w:r>
      <m:oMath xmlns:a="http://schemas.openxmlformats.org/drawingml/2006/main" xmlns:pic="http://schemas.openxmlformats.org/drawingml/2006/picture">
        <m:r>
          <m:t>8.2</m:t>
        </m:r>
        <m:r>
          <m:rPr>
            <m:sty m:val="p"/>
          </m:rPr>
          <m:t>×</m:t>
        </m:r>
        <m:sSup>
          <m:e>
            <m:r>
              <m:t>10</m:t>
            </m:r>
          </m:e>
          <m:sup>
            <m:r>
              <m:t>8</m:t>
            </m:r>
          </m:sup>
        </m:sSup>
      </m:oMath>
      <w:r>
        <w:t xml:space="preserve"> for the operator, and the dual value agrees to within 1% (</w:t>
      </w:r>
      <m:oMath xmlns:a="http://schemas.openxmlformats.org/drawingml/2006/main" xmlns:pic="http://schemas.openxmlformats.org/drawingml/2006/picture">
        <m:r>
          <m:t>1.8</m:t>
        </m:r>
        <m:r>
          <m:rPr>
            <m:sty m:val="p"/>
          </m:rPr>
          <m:t>×</m:t>
        </m:r>
        <m:sSup>
          <m:e>
            <m:r>
              <m:t>10</m:t>
            </m:r>
          </m:e>
          <m:sup>
            <m:r>
              <m:t>5</m:t>
            </m:r>
          </m:sup>
        </m:sSup>
      </m:oMath>
      <w:r>
        <w:t xml:space="preserve"> versus </w:t>
      </w:r>
      <m:oMath xmlns:a="http://schemas.openxmlformats.org/drawingml/2006/main" xmlns:pic="http://schemas.openxmlformats.org/drawingml/2006/picture">
        <m:r>
          <m:t>1.76</m:t>
        </m:r>
        <m:r>
          <m:rPr>
            <m:sty m:val="p"/>
          </m:rPr>
          <m:t>×</m:t>
        </m:r>
        <m:sSup>
          <m:e>
            <m:r>
              <m:t>10</m:t>
            </m:r>
          </m:e>
          <m:sup>
            <m:r>
              <m:t>5</m:t>
            </m:r>
          </m:sup>
        </m:sSup>
      </m:oMath>
      <w:r>
        <w:t xml:space="preserve">). Both analyses agree that conductance-only conditioning is high: the </w:t>
      </w:r>
      <m:oMath xmlns:a="http://schemas.openxmlformats.org/drawingml/2006/main" xmlns:pic="http://schemas.openxmlformats.org/drawingml/2006/picture">
        <m:r>
          <m:t>18</m:t>
        </m:r>
        <m:r>
          <m:rPr>
            <m:sty m:val="p"/>
          </m:rPr>
          <m:t>×</m:t>
        </m:r>
        <m:r>
          <m:t>18</m:t>
        </m:r>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9.9</m:t>
        </m:r>
        <m:r>
          <m:rPr>
            <m:sty m:val="p"/>
          </m:rPr>
          <m:t>×</m:t>
        </m:r>
        <m:sSup>
          <m:e>
            <m:r>
              <m:t>10</m:t>
            </m:r>
          </m:e>
          <m:sup>
            <m:r>
              <m:t>7</m:t>
            </m:r>
          </m:sup>
        </m:sSup>
      </m:oMath>
      <w:r>
        <w:t xml:space="preserve"> and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above </w:t>
      </w:r>
      <m:oMath xmlns:a="http://schemas.openxmlformats.org/drawingml/2006/main" xmlns:pic="http://schemas.openxmlformats.org/drawingml/2006/picture">
        <m:sSup>
          <m:e>
            <m:r>
              <m:t>10</m:t>
            </m:r>
          </m:e>
          <m:sup>
            <m:r>
              <m:t>8</m:t>
            </m:r>
          </m:sup>
        </m:sSup>
      </m:oMath>
      <w:r>
        <w:t>), and the dual observable collapses it by ten orders of magnitude.</w:t>
      </w:r>
    </w:p>
    <w:p>
      <w:r>
        <w:t xml:space="preserve">Supplementary Table S20 verifies this picture with the exact float64 SG/FV solver at the benchmark state and at low salt. For ideal symmetric diffusivities,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t xml:space="preserve"> is </w:t>
      </w:r>
      <m:oMath xmlns:a="http://schemas.openxmlformats.org/drawingml/2006/main" xmlns:pic="http://schemas.openxmlformats.org/drawingml/2006/picture">
        <m:r>
          <m:t>7.9</m:t>
        </m:r>
        <m:r>
          <m:rPr>
            <m:sty m:val="p"/>
          </m:rPr>
          <m:t>×</m:t>
        </m:r>
        <m:sSup>
          <m:e>
            <m:r>
              <m:t>10</m:t>
            </m:r>
          </m:e>
          <m:sup>
            <m:r>
              <m:rPr>
                <m:sty m:val="p"/>
              </m:rPr>
              <m:t>−</m:t>
            </m:r>
            <m:r>
              <m:t>7</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the single-salt condition number is </w:t>
      </w:r>
      <m:oMath xmlns:a="http://schemas.openxmlformats.org/drawingml/2006/main" xmlns:pic="http://schemas.openxmlformats.org/drawingml/2006/picture">
        <m:r>
          <m:t>1.7</m:t>
        </m:r>
        <m:r>
          <m:rPr>
            <m:sty m:val="p"/>
          </m:rPr>
          <m:t>×</m:t>
        </m:r>
        <m:sSup>
          <m:e>
            <m:r>
              <m:t>10</m:t>
            </m:r>
          </m:e>
          <m:sup>
            <m:r>
              <m:t>17</m:t>
            </m:r>
          </m:sup>
        </m:sSup>
      </m:oMath>
      <w:r>
        <w:t>. KCl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0.966</m:t>
        </m:r>
      </m:oMath>
      <w:r>
        <w:t xml:space="preserve">) raises the sensitivity only to </w:t>
      </w:r>
      <m:oMath xmlns:a="http://schemas.openxmlformats.org/drawingml/2006/main" xmlns:pic="http://schemas.openxmlformats.org/drawingml/2006/picture">
        <m:r>
          <m:t>1.1</m:t>
        </m:r>
        <m:r>
          <m:rPr>
            <m:sty m:val="p"/>
          </m:rPr>
          <m:t>×</m:t>
        </m:r>
        <m:sSup>
          <m:e>
            <m:r>
              <m:t>10</m:t>
            </m:r>
          </m:e>
          <m:sup>
            <m:r>
              <m:rPr>
                <m:sty m:val="p"/>
              </m:rPr>
              <m:t>−</m:t>
            </m:r>
            <m:r>
              <m:t>5</m:t>
            </m:r>
          </m:sup>
        </m:sSup>
      </m:oMath>
      <w:r>
        <w:t xml:space="preserve"> and leaves </w:t>
      </w:r>
      <m:oMath xmlns:a="http://schemas.openxmlformats.org/drawingml/2006/main" xmlns:pic="http://schemas.openxmlformats.org/drawingml/2006/picture">
        <m:r>
          <m:t>κ</m:t>
        </m:r>
        <m:r>
          <m:rPr>
            <m:sty m:val="p"/>
          </m:rPr>
          <m:t>=</m:t>
        </m:r>
        <m:r>
          <m:t>1.3</m:t>
        </m:r>
        <m:r>
          <m:rPr>
            <m:sty m:val="p"/>
          </m:rPr>
          <m:t>×</m:t>
        </m:r>
        <m:sSup>
          <m:e>
            <m:r>
              <m:t>10</m:t>
            </m:r>
          </m:e>
          <m:sup>
            <m:r>
              <m:t>17</m:t>
            </m:r>
          </m:sup>
        </m:sSup>
      </m:oMath>
      <w:r>
        <w:t xml:space="preserve">; NaCl (0.655) gives </w:t>
      </w:r>
      <m:oMath xmlns:a="http://schemas.openxmlformats.org/drawingml/2006/main" xmlns:pic="http://schemas.openxmlformats.org/drawingml/2006/picture">
        <m:r>
          <m:t>1.4</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3.0</m:t>
        </m:r>
        <m:r>
          <m:rPr>
            <m:sty m:val="p"/>
          </m:rPr>
          <m:t>×</m:t>
        </m:r>
        <m:sSup>
          <m:e>
            <m:r>
              <m:t>10</m:t>
            </m:r>
          </m:e>
          <m:sup>
            <m:r>
              <m:t>16</m:t>
            </m:r>
          </m:sup>
        </m:sSup>
      </m:oMath>
      <w:r>
        <w:t xml:space="preserve">; even the strongly asymmetric ratio 0.20 gives </w:t>
      </w:r>
      <m:oMath xmlns:a="http://schemas.openxmlformats.org/drawingml/2006/main" xmlns:pic="http://schemas.openxmlformats.org/drawingml/2006/picture">
        <m:r>
          <m:t>4.6</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5.9</m:t>
        </m:r>
        <m:r>
          <m:rPr>
            <m:sty m:val="p"/>
          </m:rPr>
          <m:t>×</m:t>
        </m:r>
        <m:sSup>
          <m:e>
            <m:r>
              <m:t>10</m:t>
            </m:r>
          </m:e>
          <m:sup>
            <m:r>
              <m:t>15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sensitivities are larger but </w:t>
      </w:r>
      <m:oMath xmlns:a="http://schemas.openxmlformats.org/drawingml/2006/main" xmlns:pic="http://schemas.openxmlformats.org/drawingml/2006/picture">
        <m:r>
          <m:t>κ</m:t>
        </m:r>
      </m:oMath>
      <w:r>
        <w:t xml:space="preserve"> stays above </w:t>
      </w:r>
      <m:oMath xmlns:a="http://schemas.openxmlformats.org/drawingml/2006/main" xmlns:pic="http://schemas.openxmlformats.org/drawingml/2006/picture">
        <m:r>
          <m:t>3.6</m:t>
        </m:r>
        <m:r>
          <m:rPr>
            <m:sty m:val="p"/>
          </m:rPr>
          <m:t>×</m:t>
        </m:r>
        <m:sSup>
          <m:e>
            <m:r>
              <m:t>10</m:t>
            </m:r>
          </m:e>
          <m:sup>
            <m:r>
              <m:t>12</m:t>
            </m:r>
          </m:sup>
        </m:sSup>
      </m:oMath>
      <w:r>
        <w:t xml:space="preserve">. Adding the near-wall selectivity </w:t>
      </w:r>
      <m:oMath xmlns:a="http://schemas.openxmlformats.org/drawingml/2006/main" xmlns:pic="http://schemas.openxmlformats.org/drawingml/2006/picture">
        <m:r>
          <m:t>S</m:t>
        </m:r>
      </m:oMath>
      <w:r>
        <w:t xml:space="preserve"> collapses </w:t>
      </w:r>
      <m:oMath xmlns:a="http://schemas.openxmlformats.org/drawingml/2006/main" xmlns:pic="http://schemas.openxmlformats.org/drawingml/2006/picture">
        <m:r>
          <m:t>κ</m:t>
        </m:r>
      </m:oMath>
      <w:r>
        <w:t xml:space="preserve"> to </w:t>
      </w:r>
      <m:oMath xmlns:a="http://schemas.openxmlformats.org/drawingml/2006/main" xmlns:pic="http://schemas.openxmlformats.org/drawingml/2006/picture">
        <m:r>
          <m:t>4.0</m:t>
        </m:r>
        <m:r>
          <m:rPr>
            <m:sty m:val="p"/>
          </m:rPr>
          <m:t>×</m:t>
        </m:r>
        <m:sSup>
          <m:e>
            <m:r>
              <m:t>10</m:t>
            </m:r>
          </m:e>
          <m:sup>
            <m:r>
              <m:t>6</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and </w:t>
      </w:r>
      <m:oMath xmlns:a="http://schemas.openxmlformats.org/drawingml/2006/main" xmlns:pic="http://schemas.openxmlformats.org/drawingml/2006/picture">
        <m:r>
          <m:t>6.3</m:t>
        </m:r>
        <m:r>
          <m:rPr>
            <m:sty m:val="p"/>
          </m:rPr>
          <m:t>×</m:t>
        </m:r>
        <m:sSup>
          <m:e>
            <m:r>
              <m:t>10</m:t>
            </m:r>
          </m:e>
          <m:sup>
            <m:r>
              <m:t>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for every ratio, a reduction of six to ten orders of magnitude. Diffusivity asymmetry therefore changes the prefactor of the linear channel but does not remove the identifiability limit at 1% noise; the non-monotonic </w:t>
      </w:r>
      <m:oMath xmlns:a="http://schemas.openxmlformats.org/drawingml/2006/main" xmlns:pic="http://schemas.openxmlformats.org/drawingml/2006/picture">
        <m:r>
          <m:t>κ</m:t>
        </m:r>
      </m:oMath>
      <w:r>
        <w:t xml:space="preserve"> (a larger diffusivity difference gives a smaller </w:t>
      </w:r>
      <m:oMath xmlns:a="http://schemas.openxmlformats.org/drawingml/2006/main" xmlns:pic="http://schemas.openxmlformats.org/drawingml/2006/picture">
        <m:r>
          <m:t>κ</m:t>
        </m:r>
      </m:oMath>
      <w:r>
        <w:t>) reflects the larger charge sensitivity, not a better-conditioned inverse.</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 xml:space="preserve">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the Fisher analysis shows it holds at every operating point, with a near-null charge direction and condition numbers from </w:t>
      </w:r>
      <m:oMath xmlns:a="http://schemas.openxmlformats.org/drawingml/2006/main" xmlns:pic="http://schemas.openxmlformats.org/drawingml/2006/picture">
        <m:r>
          <m:t>9.9</m:t>
        </m:r>
        <m:r>
          <m:rPr>
            <m:sty m:val="p"/>
          </m:rPr>
          <m:t>×</m:t>
        </m:r>
        <m:sSup>
          <m:e>
            <m:r>
              <m:t>10</m:t>
            </m:r>
          </m:e>
          <m:sup>
            <m:r>
              <m:t>7</m:t>
            </m:r>
          </m:sup>
        </m:sSup>
      </m:oMath>
      <w:r>
        <w:t xml:space="preserve"> to </w:t>
      </w:r>
      <m:oMath xmlns:a="http://schemas.openxmlformats.org/drawingml/2006/main" xmlns:pic="http://schemas.openxmlformats.org/drawingml/2006/picture">
        <m:r>
          <m:t>1.7</m:t>
        </m:r>
        <m:r>
          <m:rPr>
            <m:sty m:val="p"/>
          </m:rPr>
          <m:t>×</m:t>
        </m:r>
        <m:sSup>
          <m:e>
            <m:r>
              <m:t>10</m:t>
            </m:r>
          </m:e>
          <m:sup>
            <m:r>
              <m:t>12</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of the </w:t>
      </w:r>
      <m:oMath xmlns:a="http://schemas.openxmlformats.org/drawingml/2006/main" xmlns:pic="http://schemas.openxmlformats.org/drawingml/2006/picture">
        <m:r>
          <m:t>18</m:t>
        </m:r>
        <m:r>
          <m:rPr>
            <m:sty m:val="p"/>
          </m:rPr>
          <m:t>×</m:t>
        </m:r>
        <m:r>
          <m:t>18</m:t>
        </m:r>
      </m:oMath>
      <w:r>
        <w:t xml:space="preserve"> plane above </w:t>
      </w:r>
      <m:oMath xmlns:a="http://schemas.openxmlformats.org/drawingml/2006/main" xmlns:pic="http://schemas.openxmlformats.org/drawingml/2006/picture">
        <m:sSup>
          <m:e>
            <m:r>
              <m:t>10</m:t>
            </m:r>
          </m:e>
          <m:sup>
            <m:r>
              <m:t>8</m:t>
            </m:r>
          </m:sup>
        </m:sSup>
      </m:oMath>
      <w:r>
        <w:t>). The multi-protocol study sharpens the remedy: multi-salt current–voltage data increase the charge sensitivity by roughly an order of magnitude at low salinity but remain below the noise floor, and it is the independent near-wall selectivity observable that recovers wall charge to below 0.3%.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0.0008914 potential and 0.001093 current relative </w:t>
      </w:r>
      <m:oMath xmlns:a="http://schemas.openxmlformats.org/drawingml/2006/main" xmlns:pic="http://schemas.openxmlformats.org/drawingml/2006/picture">
        <m:sSub>
          <m:e>
            <m:r>
              <m:t>L</m:t>
            </m:r>
          </m:e>
          <m:sub>
            <m:r>
              <m:t>2</m:t>
            </m:r>
          </m:sub>
        </m:sSub>
      </m:oMath>
      <w:r>
        <w:t xml:space="preserve"> error on held-out in-distribution states, remains below 0.23% current error out of distribution, and runs in 0.072 ms per state after ONNX export. The charge-balanced parameterization reduces net-charge error by an order of magnitude relative to direct concentration outputs, and the physics loss reduces current error by 35–50%.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The central physical result is a limit, not a speed-up: for symmetric binary electrolytes with nearly equal ionic diffusivities, such as KCl, and a conductance-only protocol, fixed wall charge is fundamentally unidentifiable at 1% noise regardless of surrogate or solver accuracy, as confirmed by the exact SG/FV Fisher matrix (</w:t>
      </w:r>
      <m:oMath xmlns:a="http://schemas.openxmlformats.org/drawingml/2006/main" xmlns:pic="http://schemas.openxmlformats.org/drawingml/2006/picture">
        <m:r>
          <m:t>18</m:t>
        </m:r>
        <m:r>
          <m:rPr>
            <m:sty m:val="p"/>
          </m:rPr>
          <m:t>×</m:t>
        </m:r>
        <m:r>
          <m:t>18</m:t>
        </m:r>
      </m:oMath>
      <w:r>
        <w:t xml:space="preserve"> plane: minimum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9.9</m:t>
        </m:r>
        <m:r>
          <m:rPr>
            <m:sty m:val="p"/>
          </m:rPr>
          <m:t>×</m:t>
        </m:r>
        <m:sSup>
          <m:e>
            <m:r>
              <m:t>10</m:t>
            </m:r>
          </m:e>
          <m:sup>
            <m:r>
              <m:t>7</m:t>
            </m:r>
          </m:sup>
        </m:sSup>
      </m:oMath>
      <w:r>
        <w:t xml:space="preserve">, median </w:t>
      </w:r>
      <m:oMath xmlns:a="http://schemas.openxmlformats.org/drawingml/2006/main" xmlns:pic="http://schemas.openxmlformats.org/drawingml/2006/picture">
        <m:r>
          <m:t>7.5</m:t>
        </m:r>
        <m:r>
          <m:rPr>
            <m:sty m:val="p"/>
          </m:rPr>
          <m:t>×</m:t>
        </m:r>
        <m:sSup>
          <m:e>
            <m:r>
              <m:t>10</m:t>
            </m:r>
          </m:e>
          <m:sup>
            <m:r>
              <m:t>8</m:t>
            </m:r>
          </m:sup>
        </m:sSup>
      </m:oMath>
      <w:r>
        <w:t xml:space="preserve">; </w:t>
      </w:r>
      <m:oMath xmlns:a="http://schemas.openxmlformats.org/drawingml/2006/main" xmlns:pic="http://schemas.openxmlformats.org/drawingml/2006/picture">
        <m:r>
          <m:t>99.7</m:t>
        </m:r>
        <m:r>
          <m:rPr>
            <m:sty m:val="p"/>
          </m:rPr>
          <m:t>%</m:t>
        </m:r>
      </m:oMath>
      <w:r>
        <w:t xml:space="preserve"> above </w:t>
      </w:r>
      <m:oMath xmlns:a="http://schemas.openxmlformats.org/drawingml/2006/main" xmlns:pic="http://schemas.openxmlformats.org/drawingml/2006/picture">
        <m:sSup>
          <m:e>
            <m:r>
              <m:t>10</m:t>
            </m:r>
          </m:e>
          <m:sup>
            <m:r>
              <m:t>8</m:t>
            </m:r>
          </m:sup>
        </m:sSup>
      </m:oMath>
      <w:r>
        <w:t>). Single- and multi-salt current–voltage sweeps cannot remove this degeneracy. Differential diffusivity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channel of relative size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xml:space="preserve">, but the single-salt conditioning remains above </w:t>
      </w:r>
      <m:oMath xmlns:a="http://schemas.openxmlformats.org/drawingml/2006/main" xmlns:pic="http://schemas.openxmlformats.org/drawingml/2006/picture">
        <m:sSup>
          <m:e>
            <m:r>
              <m:t>10</m:t>
            </m:r>
          </m:e>
          <m:sup>
            <m:r>
              <m:t>15</m:t>
            </m:r>
          </m:sup>
        </m:sSup>
      </m:oMath>
      <w:r>
        <w:t xml:space="preserve"> even for NaCl and a strongly asymmetric macro-ion electrolyte (Supplementary Table S20).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