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23 October 2026</w:t>
      </w:r>
    </w:p>
    <w:p/>
    <w:p>
      <w:r>
        <w:rPr>
          <w:b/>
        </w:rPr>
        <w:t>To the Editors-in-Chief</w:t>
      </w:r>
    </w:p>
    <w:p>
      <w:r>
        <w:rPr>
          <w:i/>
        </w:rPr>
        <w:t>Computer Physics Communications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We submit this manuscript for consideration in </w:t>
      </w:r>
      <w:r>
        <w:rPr>
          <w:i/>
        </w:rPr>
        <w:t>Computer Physics Communications</w:t>
      </w:r>
      <w:r>
        <w:t xml:space="preserve"> under the Computer Programs in Physics (CPiP) category. The software package PINO-Nanopore (archived permanently at Zenodo DOI: 10.5281/zenodo.23487404 and deployed interactively at https://pino.statwhy.com) provides a validated, exact-boundary solution operator for steady axisymmetric Poisson–Nernst–Planck transport, whose primary scientific application is high-throughput Fisher-information and conductance-identifiability mapping for nanopore experiments.</w:t>
      </w:r>
    </w:p>
    <w:p/>
    <w:p>
      <w:r>
        <w:t xml:space="preserve">I am pleased to submit the original research article entitled </w:t>
      </w:r>
      <w:r>
        <w:rPr>
          <w:b/>
        </w:rPr>
        <w:t>"Charge-balanced neural operators, conductance identifiability limits, and warm-started finite-volume solvers for nanopore ion transport"</w:t>
      </w:r>
      <w:r>
        <w:t xml:space="preserve"> for consideration at </w:t>
      </w:r>
      <w:r>
        <w:rPr>
          <w:i/>
        </w:rPr>
        <w:t>Computer Physics Communications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rPr>
          <w:b/>
        </w:rPr>
        <w:t>Relationship to COMPHY-D-26-00857.</w:t>
      </w:r>
      <w:r>
        <w:t xml:space="preserve"> An earlier manuscript by the same author, </w:t>
      </w:r>
      <w:r>
        <w:rPr>
          <w:i/>
        </w:rPr>
        <w:t>"Exact-boundary data-assimilated physics-informed neural networks for coupled Poisson--Nernst--Planck transport at charged nanopore biointerfaces"</w:t>
      </w:r>
      <w:r>
        <w:t>, was submitted to Computer Physics Communications as COMPHY-D-26-00857 (revision R1); it has not been published. That study is fixed-state: one network is trained for one operating point and needs about 500 s per new state. The present manuscript is a separate, related study. It reuses the verified SG/FV reference and the DA-PINN benchmark comparison, but its new contributions are the parameter-conditioned operator, the charge-balanced exact-boundary reparameterization with its controlled ablation, and the identifiability analysis with the blind inverse and warm-started solver benchmark. Shared methods and benchmark material are identified explicitly in the manuscript.</w:t>
      </w:r>
    </w:p>
    <w:p/>
    <w:p>
      <w:r>
        <w:rPr>
          <w:b/>
        </w:rPr>
        <w:t>Contributions.</w:t>
      </w:r>
      <w:r>
        <w:t xml:space="preserve"> (i) A single multi-scale radial physics-informed DeepONet maps the four parameters </w:t>
      </w:r>
      <m:oMath xmlns:a="http://schemas.openxmlformats.org/drawingml/2006/main" xmlns:pic="http://schemas.openxmlformats.org/drawingml/2006/picture"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to the coupled potential and ionic concentrations, with exact reservoir boundary conditions and a charge-balanced hyperbolic reconstruction that removes subtractive cancellation in net charge. On held-out states it reaches 0.00089 potential and 0.00109 current relative </w:t>
      </w:r>
      <m:oMath xmlns:a="http://schemas.openxmlformats.org/drawingml/2006/main" xmlns:pic="http://schemas.openxmlformats.org/drawingml/2006/picture"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error and runs in 0.072 ms per state after ONNX export. (ii) A Fisher-information analysis, validated against exact float64 SG/FV Jacobians, shows that a conductance-only measurement leaves wall charge practically unidentifiable for symmetric electrolytes with nearly equal diffusivities. A blind 675-realization study with exact SG/FV observations confirms the limit and shows that a dual current-plus-near-wall-selectivity protocol reaches 1.5% median charge error, but with 73% 95% coverage at 1% noise dominated by a 1.3% cross-grid discretization bias; single-salt fits do not converge, so their intervals are reported as provisional local intervals. (iii) A reference-free warm-started SG/FV solver reproduces the cold-solve current to </w:t>
      </w:r>
      <m:oMath xmlns:a="http://schemas.openxmlformats.org/drawingml/2006/main" xmlns:pic="http://schemas.openxmlformats.org/drawingml/2006/picture"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at 0.153 s (1.54</w:t>
      </w:r>
      <m:oMath xmlns:a="http://schemas.openxmlformats.org/drawingml/2006/main" xmlns:pic="http://schemas.openxmlformats.org/drawingml/2006/picture">
        <m:r>
          <m:rPr>
            <m:sty m:val="p"/>
          </m:rPr>
          <m:t>×</m:t>
        </m:r>
      </m:oMath>
      <w:r>
        <w:t xml:space="preserve"> faster than a cold forward solve), and a warm-started reversal root is 1.19</w:t>
      </w:r>
      <m:oMath xmlns:a="http://schemas.openxmlformats.org/drawingml/2006/main" xmlns:pic="http://schemas.openxmlformats.org/drawingml/2006/picture">
        <m:r>
          <m:rPr>
            <m:sty m:val="p"/>
          </m:rPr>
          <m:t>×</m:t>
        </m:r>
      </m:oMath>
      <w:r>
        <w:t xml:space="preserve"> faster than cold Brent. The 240-state benchmark, exact Jacobians, 120-case timing file, browser simulator, and MIT-licensed archive are included.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MIT-licensed reproducibility package, including the 675 per-realization inverse records and the 120-case timing benchmark, is at https://github.com/Javad-Alizargar/nanopore-pino-surrogate. The archived release is at Zenodo DOI: 10.5281/zenodo.23487404, and the interactive simulator is at https://pino.statwhy.com/.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