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Computer Physics Communications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"Sensitivity-controlled physics-constrained neural operators and conductance identifiability limits for Poisson--Nernst--Planck transport in charged nanopores"</w:t>
      </w:r>
      <w:r>
        <w:t xml:space="preserve"> for consideration at </w:t>
      </w:r>
      <w:r>
        <w:rPr>
          <w:i/>
        </w:rPr>
        <w:t>Computer Physics Communications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Computer Physics Communications</w:t>
      </w:r>
      <w:r>
        <w:t xml:space="preserve"> because its primary deliverable is a reusable, documented, and reproducible computational package. The submission includes a CPC Program Summary, an MIT-licensed public repository, trained PyTorch and ONNX models, a serverless browser simulator, and a full reproducibility package with archived result files. The study is framed explicitly as a computational-physics instrument: its contribution is the elimination of per-state retraining for design, uncertainty-quantification, and inverse workflows, not a claim of superiority over specialized solvers.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2,700-realization study reveal a physical conductance identifiability boundary: dual current–plus–near-wall-selectivity inversion reaches 1.7% median charge error and 0.17% radius error, but only 68% 95% coverage at 1% noise because a roughly 2% surrogate bias floor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9.5-fold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2,700-realization blind inverse study with shared noisy observations shows that the dual current-plus-selectivity protocol reaches 1.7% median charge error but only 68% 95% coverage at 1% noise, while the reversal potential is state dependent (263% weak-charge versus 7.3% strong-charge). We therefore report a bias-limited 2% recovery and a strong-exclusion 7%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