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Computer Physics Communications / Journal of Computational Physics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jointly with the </w:t>
      </w:r>
      <w:r>
        <w:rPr>
          <w:i/>
        </w:rPr>
        <w:t>Journal of Computational Physics</w:t>
      </w:r>
      <w:r>
        <w:t>.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"Sensitivity-controlled physics-constrained neural operators and conductance identifiability limits for Poisson--Nernst--Planck transport in charged nanopores"</w:t>
      </w:r>
      <w:r>
        <w:t xml:space="preserve"> for consideration at </w:t>
      </w:r>
      <w:r>
        <w:rPr>
          <w:i/>
        </w:rPr>
        <w:t>Computer Physics Communications / Journal of Computational Physics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The work combines a numerical-methods contribution with a reusable computational package: a hard-constrained operator ansatz, a controlled accuracy and ablation study, and a documented, MIT-licensed software release that includes trained models, verification reports, and an interactive simulator.</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2,700-realization study reveal a physical conductance identifiability boundary: dual current–plus–near-wall-selectivity inversion reaches 1.7% median charge error and 0.17% radius error, but only 68% 95% coverage at 1% noise because a roughly 2% surrogate bias floor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9.5-fold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2,700-realization blind inverse study with shared noisy observations shows that the dual current-plus-selectivity protocol reaches 1.7% median charge error but only 68% 95% coverage at 1% noise, while the reversal potential is state dependent (263% weak-charge versus 7.3% strong-charge). We therefore report a bias-limited 2% recovery and a strong-exclusion 7%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