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Sensitivity-controlled physics-constrained neural operators and conductance identifiability limits for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in 0.072 ms with 13% lower net-charge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Blind dual inversion: 1.7\% charge error, 68\% 95\% coverage at 1\% noise.</w:t>
      </w:r>
    </w:p>
    <w:p>
      <w:pPr>
        <w:pStyle w:val="ListBullet"/>
      </w:pPr>
      <w:r>
        <w:t xml:space="preserve">Warm-started hybrid solver: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current error at 9.5-fold lower cost.</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PINO-Nanopore, an exact-boundary, charge-balanced operator for axisymmetric PNP transport over voltage, salinity, wall charge, and radius, used to map regime-dependent conductance identifiability. A 240-state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multi-scale radial physics-informed DeepONet (36,880 parameters) and a real-DFT Fourier neural operator (460,488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direct-concentration loss, charge-balanced outputs lower median net-charge error from 0.238 to 0.207 with 18% lower current error; linearized-Poisson–Boltzmann, POD-RBF,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multi-salt inversion leave charge unidentifiable. A 2,700-realization blind inverse study gives a dual current-plus-selectivity median charge error of 1.7\% but only 68\% 95\% coverage at 1\% noise; the reversal potential is state dependent (263\% weak-charge, 7.3\% strong-charge), and a reference-free warm-started controller reproduces the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9.5-fold below a cold solve. A strong-charge benchmark lowers current error 23-fold.</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(five schemes, three seeds), exact SG/FV Jacobian validation, and Stage-12 diagnostics add about five minutes; the Stage-18 inverse, baseline, and strong-charge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five-way benchmark, including a direct-concentration model retrained with a matched field loss, shows that charge-balanced outputs lower median net-charge error from 0.238 to 0.207 while keeping current error 18\% lower; the linear projection is statistically tied on net charge but leaves a finite charge-identity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r>
          <m:rPr>
            <m:sty m:val="p"/>
          </m:rPr>
          <m:t>%</m:t>
        </m:r>
      </m:oMath>
      <w:r>
        <w:t xml:space="preserve"> above </w:t>
      </w:r>
      <m:oMath xmlns:a="http://schemas.openxmlformats.org/drawingml/2006/main" xmlns:pic="http://schemas.openxmlformats.org/drawingml/2006/picture">
        <m:sSup>
          <m:e>
            <m:r>
              <m:t>10</m:t>
            </m:r>
          </m:e>
          <m:sup>
            <m:r>
              <m:t>8</m:t>
            </m:r>
          </m:sup>
        </m:sSup>
      </m:oMath>
      <w:r>
        <w:t>), with 1\%-noise CRLBs of 0.37\% for radius but 86 for charge. Single- and multi-salt current–voltage protocols leave charge unidentifiable at 1\% noise, whereas a blind Stage-20 dual current-plus-selectivity protocol reaches 1.7\% median charge error and 0.17\% radius error, but with only 68\% 95\% coverage at 1\% noise because a roughly 2\% surrogate bias floor remains. A strong-charge benchmark lowers current error 23-fold relative to the Ohmic bulk approximation, without claiming that single-salt conductance alone identifies charge.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R</m:t>
                </m:r>
              </m:e>
              <m:sub>
                <m:r>
                  <m:t>g</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To separate a measurement limitation from a surrogate limitation, the inverse study is a controlled identifiability experiment over 15 held-out interpolation states selected to span the Debye-overlap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(single-salt) uses the state's own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We report medians and interquartile ranges over the 600 protocol–noise–state samples, with 95\% coverage and the fractions satisfying the 10\% charge and 2\% radius criteria.</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single-salt Fisher scale with the operator; a five-state SG/FV-in-the-loop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Structural constraints of the exact-reservoir formulation: the ansatz imposes reservoir potential and concentration values, zero wall ion flux, the wall charge condition, and positive concentrations, while the charge-balanced map enforces the charge identity algebraically.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Naive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That large contrast, however, partly reflects an optimization pathology of the naive direct loss. When the direct model is retrained with the same field-normalized loss used for the other schemes, its three-seed net-charge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PI-DeepONet backbone, including a direct-concentration model retrained with the matched field loss;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five schemes; the hyperbolic reconstruction and the direct schemes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Noise-whitened single-salt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w:t>
      </w:r>
      <m:oMath xmlns:a="http://schemas.openxmlformats.org/drawingml/2006/main" xmlns:pic="http://schemas.openxmlformats.org/drawingml/2006/picture">
        <m:r>
          <m:t>99.1</m:t>
        </m:r>
        <m:r>
          <m:rPr>
            <m:sty m:val="p"/>
          </m:rPr>
          <m:t>%</m:t>
        </m:r>
      </m:oMath>
      <w:r>
        <w:t xml:space="preserve">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the eight states of the </w:t>
      </w:r>
      <m:oMath xmlns:a="http://schemas.openxmlformats.org/drawingml/2006/main" xmlns:pic="http://schemas.openxmlformats.org/drawingml/2006/picture">
        <m:r>
          <m:t>8</m:t>
        </m:r>
        <m:r>
          <m:rPr>
            <m:sty m:val="p"/>
          </m:rPr>
          <m:t>×</m:t>
        </m:r>
        <m:r>
          <m:t>8</m:t>
        </m:r>
      </m:oMath>
      <w:r>
        <w:rPr>
          <w:sz w:val="18"/>
        </w:rPr>
        <w:t xml:space="preserve"> Fisher plane: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Blind Stage-20 inversion at 1\% noise using estimator B for the single-salt, reversal-potential, and dual current-plus-selectivity protocols (15 states, 20 realizations each); bars are median relative errors and error bars are half the interquartile range. Single-salt charge remains unidentifiable; the dual protocol reaches 1.7\% median charge and 0.17\% radius error but only 68\% 95\% coverage, and the reversal potential is state dependent (263\% weak-charge versus 7.3\% strong-charge).</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 xml:space="preserve">Removing the physics loss increases current error by 54.3% for the DeepONet in-distribution and by 98.9% for the FNO out of distribution (corresponding to 35.2% and 49.7% error reductions when adding the physics term). For the DeepONet, the interp-test current error rises from 0.001093 to 0.001687, while the potential error changes only from 0.0008914 to 0.000928 (4.1% higher). For the FNO, the interp-test current error rises from 0.008511 to 0.01393 (63.7% higher), and the OOD current error rises from 0.009123 to 0.01815 (98.9% higher). The OOD potential error of the FNO also rises from 0.02079 to 0.03013 (44.9%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held-out states and 20 noise realizations at 1\% noise, single-salt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multi-salt protocol does not change this conclusion: the median charge error is 1.06 (IQR 4.96), radius error is 0.262\%, and radius coverage is 61\%. The dual protocol, which adds the near-wall selectivity </w:t>
      </w:r>
      <m:oMath xmlns:a="http://schemas.openxmlformats.org/drawingml/2006/main" xmlns:pic="http://schemas.openxmlformats.org/drawingml/2006/picture">
        <m:r>
          <m:t>S</m:t>
        </m:r>
      </m:oMath>
      <w:r>
        <w:t xml:space="preserve">,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70.7\% charge coverage is substantial undercoverage, caused by a roughly 1.9\% surrogate bias in the selectivity </w:t>
      </w:r>
      <m:oMath xmlns:a="http://schemas.openxmlformats.org/drawingml/2006/main" xmlns:pic="http://schemas.openxmlformats.org/drawingml/2006/picture">
        <m:r>
          <m:t>S</m:t>
        </m:r>
      </m:oMath>
      <w:r>
        <w:t xml:space="preserve"> rather than by noise. The Stage-20 blind residual-controlled inversion reduces the median charge error to 1.7\%, but it does not eliminate that bias floor: at 0.2\% noise the 95\% intervals cover only 4\% of realizations, rising to 68\% at 1\% and 87\% at 2\%. The dual result should therefore be read as a bias-limited 2\% recovery, not a calibrated sub-percent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multi-salt radius estimates change by 21–29\% because the flat charge direction leaves a shallow, grid-sensitive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SG/FV-in-the-loop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sub-percent level by all protocols. The five-state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w:t>
      </w:r>
      <m:oMath xmlns:a="http://schemas.openxmlformats.org/drawingml/2006/main" xmlns:pic="http://schemas.openxmlformats.org/drawingml/2006/picture">
        <m:r>
          <m:t>99.1</m:t>
        </m:r>
        <m:r>
          <m:rPr>
            <m:sty m:val="p"/>
          </m:rPr>
          <m:t>%</m:t>
        </m:r>
      </m:oMath>
      <w:r>
        <w:t xml:space="preserve">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single-salt Fisher matrix is numerically rank-deficient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sub-percent dual-recovery claim. That estimate was obtained with operator-generated observations, a </w:t>
      </w:r>
      <m:oMath xmlns:a="http://schemas.openxmlformats.org/drawingml/2006/main" xmlns:pic="http://schemas.openxmlformats.org/drawingml/2006/picture">
        <m:r>
          <m:t>30</m:t>
        </m:r>
        <m:r>
          <m:rPr>
            <m:sty m:val="p"/>
          </m:rPr>
          <m:t>×</m:t>
        </m:r>
        <m:r>
          <m:t>30</m:t>
        </m:r>
      </m:oMath>
      <w:r>
        <w:t xml:space="preserve"> grid, and a small five-state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is that dual inversion recovers charge to 5–10\% and radius to 0.1–0.5\%. The physical conclusion is unchanged: a charge-sensitive readout is required, and the operator is a practical tool for choosing it.</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Sensitivity-controlled hybrid solver and reversal-potential identifiability</w:t>
      </w:r>
    </w:p>
    <w:p>
      <w:r>
        <w:t xml:space="preserve">The hybrid solver combines the frozen operator with a Weyl singular-value gate and a conservative SG/FV correction warm-started from the operator; this is a derivative-informed residual correction in the sense of [61], not a new learned field representation. On 120 states spanning the weak, transitional, and strong charge bands, the reference-free Pino-Controller reproduces the full SG/FV current to a median relative error of </w:t>
      </w:r>
      <m:oMath xmlns:a="http://schemas.openxmlformats.org/drawingml/2006/main" xmlns:pic="http://schemas.openxmlformats.org/drawingml/2006/picture">
        <m:r>
          <m:t>3.0</m:t>
        </m:r>
        <m:r>
          <m:rPr>
            <m:sty m:val="p"/>
          </m:rPr>
          <m:t>×</m:t>
        </m:r>
        <m:sSup>
          <m:e>
            <m:r>
              <m:t>10</m:t>
            </m:r>
          </m:e>
          <m:sup>
            <m:r>
              <m:rPr>
                <m:sty m:val="p"/>
              </m:rPr>
              <m:t>−</m:t>
            </m:r>
            <m:r>
              <m:t>12</m:t>
            </m:r>
          </m:sup>
        </m:sSup>
      </m:oMath>
      <w:r>
        <w:t xml:space="preserve"> at 0.165 s per state, compared with 1.575 s for a cold full </w:t>
      </w:r>
      <m:oMath xmlns:a="http://schemas.openxmlformats.org/drawingml/2006/main" xmlns:pic="http://schemas.openxmlformats.org/drawingml/2006/picture">
        <m:r>
          <m:t>21</m:t>
        </m:r>
        <m:r>
          <m:rPr>
            <m:sty m:val="p"/>
          </m:rPr>
          <m:t>×</m:t>
        </m:r>
        <m:r>
          <m:t>61</m:t>
        </m:r>
      </m:oMath>
      <w:r>
        <w:t xml:space="preserve"> solve, a 9.5-fold reduction. A single Gummel step alone gives </w:t>
      </w:r>
      <m:oMath xmlns:a="http://schemas.openxmlformats.org/drawingml/2006/main" xmlns:pic="http://schemas.openxmlformats.org/drawingml/2006/picture">
        <m:r>
          <m:t>1.8</m:t>
        </m:r>
        <m:r>
          <m:rPr>
            <m:sty m:val="p"/>
          </m:rPr>
          <m:t>×</m:t>
        </m:r>
        <m:sSup>
          <m:e>
            <m:r>
              <m:t>10</m:t>
            </m:r>
          </m:e>
          <m:sup>
            <m:r>
              <m:rPr>
                <m:sty m:val="p"/>
              </m:rPr>
              <m:t>−</m:t>
            </m:r>
            <m:r>
              <m:t>4</m:t>
            </m:r>
          </m:sup>
        </m:sSup>
      </m:oMath>
      <w:r>
        <w:t xml:space="preserve"> current error at 0.010 s; the controller's gain comes from the operator warm start plus the conservative correction. Its median reversal-potential error is 0.038 mV, inherited from the reversal surrogate rather than from the field correction. The eight-method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strong-charge band.</w:t>
      </w:r>
    </w:p>
    <w:p>
      <w:r>
        <w:t xml:space="preserve">The Stage-20 blind inverse study removes the truth from every estimator. It uses 15 held-out states, three protocols, three noise levels, and 20 realizations, for 2,700 inversions;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Estimator A is surrogate-only with local quadratic refinement, B is a residual-controlled SG/FV Gauss–Newton polish, and C is a two-start cold SG/FV baseline. At 1\% noise, single-salt inversion remains unidentifiable (median </w:t>
      </w:r>
      <m:oMath xmlns:a="http://schemas.openxmlformats.org/drawingml/2006/main" xmlns:pic="http://schemas.openxmlformats.org/drawingml/2006/picture">
        <m:sSub>
          <m:e>
            <m:r>
              <m:t>q</m:t>
            </m:r>
          </m:e>
          <m:sub>
            <m:r>
              <m:t>w</m:t>
            </m:r>
          </m:sub>
        </m:sSub>
      </m:oMath>
      <w:r>
        <w:t xml:space="preserve"> error 140\%), while the reversal potential is strongly state dependent: its median error is 263\% in the weak-charge band but 7.3\% in the strong-charge band, where Donnan exclusion is large. The dual current-plus-selectivity protocol is the most stable, with median charge errors of 1.38\%, 1.40\%, and 2.41\% in the weak, transitional, and strong bands (1.72\% overall) and radius errors of 0.17\%. Its 95\% charge coverage is 68\% at 1\% noise, and only 4\% at 0.2\% noise, because the remaining roughly 2\% surrogate bias floor dominates the shrinking statistical interval; coverage rises to 87\% at 2\% noise. The corresponding reversal-potential coverage is 56\% at 1\% noise. We therefore report the dual protocol as a bias-limited 2\% recovery, the strong-exclusion reversal potential as a state-dependent 7\% recovery, and do not claim calibrated sub-percent charge identification.</w:t>
      </w:r>
    </w:p>
    <w:p>
      <w:pPr>
        <w:pStyle w:val="Heading3"/>
      </w:pPr>
      <w:r>
        <w:t>3.11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strong-charge behavior</w:t>
      </w:r>
    </w:p>
    <w:p>
      <w:r>
        <w:t>To place the operator against simpler alternatives, we evaluated two interpreted models on the same 96 test states (Supplementary Table S21). The Ohmic bulk model uses the bulk conductivity and the geometric cross-section; the linearized radial Poisson–Boltzmann (PB) model uses a calibrated Debye-layer charge profile and no per-state fitting. A 30-mode POD–RBF interpolator and the FNO provide data-driven reference points. On the interpolation split the DeepONet has the lowest potential error (0.000891 versus 0.000969 for PB) and a net-charge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low-charge current, but it does not satisfy the nonlinear PNP equations or the charge identity and cannot represent the strong-charge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strong-charge fields and selectivity, which is the regime where a physics-constrained operator is needed.</w:t>
      </w:r>
    </w:p>
    <w:p>
      <w:r>
        <w:t xml:space="preserve">The strong-charge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22.8-fold reduction; the Ohmic model has a net-charge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charge-sensitive field large and accurately predictable, which is the signal a dual readout exploits; it does not by itself make single-salt conductance identify charge, and we do not claim that it does.</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 xml:space="preserve">The charge-balanced parameterization is the most transferable result, but the matched-loss control changes its quantitative interpretation. Relative to a naive direct-concentration loss the improvement is 8.63-fold for the DeepONet and 10.29-fold for the FNO, yet much of that gap is an optimization pathology: with the same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net-charge and 18–23\% current advantage over a fairly trained direct model, plus an exact positivity and charge-identity guarantee. The underlying mechanism remains general: whenever a physical quantity is a small difference of two large positive fields, direct regression suffers from cancellation, and a reparameterization in terms of the sum and the difference reduces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54.3% for the DeepONet in-distribution and by 98.9%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SG/FV-generated observations, 20 noise draws, and a nested grid, the Stage-20 blind dual current–plus–selectivity inversion reaches 1.7\% median charge error and 0.17\% radius error at 1\% noise, but only 68\% 95\% coverage; single- and multi-salt conductance leave charge at 140\% median error and do not meet the 10\% criterion for any state. The residual roughly 2\% bias floor, not noise, limits the dual interval calibration; this is a separate surrogate limitation from the physical conductance-only degeneracy, which follows from the near-invariance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t>
      </w:r>
      <m:oMath xmlns:a="http://schemas.openxmlformats.org/drawingml/2006/main" xmlns:pic="http://schemas.openxmlformats.org/drawingml/2006/picture">
        <m:r>
          <m:t>99.1</m:t>
        </m:r>
        <m:r>
          <m:rPr>
            <m:sty m:val="p"/>
          </m:rPr>
          <m:t>%</m:t>
        </m:r>
      </m:oMath>
      <w:r>
        <w:t xml:space="preserve">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multi-salt current–voltage data do not remove the degeneracy, whereas an independent near-wall selectivity observable brings the median charge error to about 2\% while leaving a bias-limited coverage gap.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Stage-19/20 hybrid and reversal study sharpens the same boundary. The reference-free warm-started controller reproduces the full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median relative error at 0.165 s per state, 9.5-fold below the 1.575 s cold solve, so it is a practical inner loop for protocol design. The unequal-reservoir reversal potential is strongly state dependent. It is weak at low charge and high salinity, where the concentration-cell potential carries little wall-charge signature, but it reaches </w:t>
      </w:r>
      <m:oMath xmlns:a="http://schemas.openxmlformats.org/drawingml/2006/main" xmlns:pic="http://schemas.openxmlformats.org/drawingml/2006/picture">
        <m:r>
          <m:rPr>
            <m:sty m:val="p"/>
          </m:rPr>
          <m:t>−</m:t>
        </m:r>
        <m:r>
          <m:t>5.67</m:t>
        </m:r>
      </m:oMath>
      <w:r>
        <w:t xml:space="preserve"> mV at </w:t>
      </w:r>
      <m:oMath xmlns:a="http://schemas.openxmlformats.org/drawingml/2006/main" xmlns:pic="http://schemas.openxmlformats.org/drawingml/2006/picture">
        <m:sSub>
          <m:e>
            <m:r>
              <m:t>q</m:t>
            </m:r>
          </m:e>
          <m:sub>
            <m:r>
              <m:t>w</m:t>
            </m:r>
          </m:sub>
        </m:sSub>
        <m:r>
          <m:rPr>
            <m:sty m:val="p"/>
          </m:rPr>
          <m:t>=</m:t>
        </m:r>
        <m:r>
          <m:rPr>
            <m:sty m:val="p"/>
          </m:rPr>
          <m:t>−</m:t>
        </m:r>
        <m:r>
          <m:t>1</m:t>
        </m:r>
      </m:oMath>
      <w:r>
        <w:t xml:space="preserve">,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t>R</m:t>
        </m:r>
        <m:r>
          <m:rPr>
            <m:sty m:val="p"/>
          </m:rPr>
          <m:t>=</m:t>
        </m:r>
        <m:r>
          <m:t>5</m:t>
        </m:r>
      </m:oMath>
      <w:r>
        <w:t xml:space="preserve"> nm even with equal diffusivities because Donnan exclusion is strong. A reversal-potential readout should therefore be designed for the strong-exclusion regime and combined with a genuinely charge-sensitive observable, rather than dismissed as uniformly weak or substituted for one.</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held-out in-distribution states, retains 0.00136 current error out of distribution, and runs in 0.072 ms per state after ONNX export. In a five-way constrained comparison, charge-balanced outputs reduce median net-charge error from 0.238 for a matched direct-concentration loss to 0.207 while keeping current error 18\% lower; the linear projection is statistically tied on net charge but leaves a finite charge-identity mismatch. Removing the physics loss increases current error by 54.3\% for the DeepONet in-distribution and by 98.9\% for the FNO out of distribution (corresponding to 35.2\% and 49.7\% error reductions when adding the physics term). A reference-free warm-started SG/FV controller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per state, 9.5-fold below a full solve. A 2,700-realization blind inverse study gives a dual current-plus-selectivity median charge error of 1.7\% but only 68\% 95\% coverage at 1\% noise; the reversal potential is state dependent (263\% weak-charge, 7.3\% strong-charge), so we report a bias-limited 2\% recovery rather than calibrated sub-percent identification.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strong-charge fields and selectivity. The central physical result is a limit, not a speed-up: for symmetric binary electrolytes with nearly equal ionic diffusivities, such as KCl, and a conductance-only protocol, fixed wall charge is unidentifiable at 1\% noise regardless of surrogate or solver accuracy,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r>
          <m:rPr>
            <m:sty m:val="p"/>
          </m:rPr>
          <m:t>%</m:t>
        </m:r>
      </m:oMath>
      <w:r>
        <w:t xml:space="preserve"> above </w:t>
      </w:r>
      <m:oMath xmlns:a="http://schemas.openxmlformats.org/drawingml/2006/main" xmlns:pic="http://schemas.openxmlformats.org/drawingml/2006/picture">
        <m:sSup>
          <m:e>
            <m:r>
              <m:t>10</m:t>
            </m:r>
          </m:e>
          <m:sup>
            <m:r>
              <m:t>8</m:t>
            </m:r>
          </m:sup>
        </m:sSup>
      </m:oMath>
      <w:r>
        <w:t>; 1\%-noise CRLB 0.37\% for radius but 86 for charge). Single- and multi-salt current–voltage sweeps do not remove this degeneracy. A dual current-plus-near-wall-selectivity protocol reaches 1.7\% median charge error and 0.17\% radius error in the blind Stage-20 study, but its 95\% charge coverage is only 68\% at 1\% noise because a roughly 2\% surrogate bias floor dominates the statistical interval. Strong surface charge lowers current error 23-fold relative to the Ohmic bulk approximation and makes the selectivity field accurately predictable, but it does not by itself make single-salt conductance identify charge.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p>
      <w:pPr>
        <w:spacing w:after="60"/>
        <w:ind w:left="605" w:hanging="605"/>
      </w:pPr>
      <w:r>
        <w:t xml:space="preserve">[61] Thomas O’Leary-Roseberry, Umberto Villa, Peng Chen, Omar Ghattas (2022). Derivative-informed projected neural networks for high-dimensional parametric maps governed by PDEs </w:t>
      </w:r>
      <w:r>
        <w:rPr>
          <w:i/>
        </w:rPr>
        <w:t>Computer Methods in Applied Mechanics and Engineering</w:t>
      </w:r>
      <w:r>
        <w:t>. doi:10.1016/j.cma.2021.114199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