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Sensitivity-controlled physics-constrained neural operators and conductance identifiability limits for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Five-way constraint-scheme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Candidate-grid nesting and SG/FV-in-the-loop inverse check.</w:t>
      </w:r>
    </w:p>
    <w:p>
      <w:pPr>
        <w:pStyle w:val="ListBullet"/>
      </w:pPr>
      <w:r>
        <w:rPr>
          <w:b/>
        </w:rPr>
        <w:t>S19</w:t>
      </w:r>
      <w:r>
        <w:t>: Exact SG/FV versus neural-operator Fisher and Jacobian validation.</w:t>
      </w:r>
    </w:p>
    <w:p>
      <w:pPr>
        <w:pStyle w:val="ListBullet"/>
      </w:pPr>
      <w:r>
        <w:rPr>
          <w:b/>
        </w:rPr>
        <w:t>S20</w:t>
      </w:r>
      <w:r>
        <w:t>: Exact SG/FV diffusivity-ratio scan.</w:t>
      </w:r>
    </w:p>
    <w:p>
      <w:pPr>
        <w:pStyle w:val="ListBullet"/>
      </w:pPr>
      <w:r>
        <w:rPr>
          <w:b/>
        </w:rPr>
        <w:t>S21</w:t>
      </w:r>
      <w:r>
        <w:t>: Interpreted baselines and strong-charge benchmark.</w:t>
      </w:r>
    </w:p>
    <w:p>
      <w:pPr>
        <w:pStyle w:val="ListBullet"/>
      </w:pPr>
      <w:r>
        <w:rPr>
          <w:b/>
        </w:rPr>
        <w:t>S22</w:t>
      </w:r>
      <w:r>
        <w:t>: Sensitivity-controlled hybrid solver and reversal-potential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matched-capacity Stage-10 ablation backbone (250-epoch budget); the production three-seed model in this table is the 500-epoch </w:t>
      </w:r>
      <m:oMath xmlns:a="http://schemas.openxmlformats.org/drawingml/2006/main" xmlns:pic="http://schemas.openxmlformats.org/drawingml/2006/picture">
        <m:r>
          <m:t>p</m:t>
        </m:r>
        <m:r>
          <m:rPr>
            <m:sty m:val="p"/>
          </m:rPr>
          <m:t>=</m:t>
        </m:r>
        <m:r>
          <m:t>64</m:t>
        </m:r>
      </m:oMath>
      <w:r>
        <w:t xml:space="preserve"> configuration, so its 36,880 count is not directly comparable with the 34,243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Sensitivity-controlled hybrid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results/stage19_hybrid_controller.json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with exact SG/FV-generated observations. For 15 held-out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Single-salt uses one bulk concentration;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Candidate-grid nesting and SG/FV-in-the-loop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radius-only protocols have a shallow, grid-sensitive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single-salt matrix is numerically rank-deficient,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strong-charge benchmark. (A) Relative </w:t>
      </w:r>
      <m:oMath xmlns:a="http://schemas.openxmlformats.org/drawingml/2006/main" xmlns:pic="http://schemas.openxmlformats.org/drawingml/2006/picture">
        <m:sSub>
          <m:e>
            <m:r>
              <m:t>L</m:t>
            </m:r>
          </m:e>
          <m:sub>
            <m:r>
              <m:t>2</m:t>
            </m:r>
          </m:sub>
        </m:sSub>
      </m:oMath>
      <w:r>
        <w:t xml:space="preserve"> errors on the 48 interpolation-test and 48 out-of-distribution states. The Ohmic bulk model uses bulk conductivity and the geometric cross-section; the linearized radial Poisson–Boltzmann (PB) model uses a Debye-layer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per-state fitting; POD–RBF uses 30 modes per field; DeepONet and FNO are the three-seed canonical models. (B) Strong-charge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Sensitivity-controlled hybrid solver and blind unequal-reservoir reversal-potential benchmark. (A) Median current and reversal-potential errors with median wall time for eight methods on 120 states (40 weak, 40 transitional, 40 strong). The Pino-Controller warm-starts the conservative SG/FV solve from the operator and is reference-free; full SG/FV is the reference. (B) Blind Stage-20 inversion with shared noisy observations, 15 states, and 20 realizations per protocol and noise level; B is the residual-controlled SG/FV Gauss–Newton estimator. Errors are medians over all states and over the weak, transitional, and strong charge bands; coverage is the fraction of 95\% intervals containing the truth. The dual protocol reaches 1.7\% median charge error at 1\% noise but its intervals are undercovered (68\%), while the reversal potential is strongly state dependent (263\% weak-charge versus 7.3\% strong-charge). Single-salt conductance remains unidentifiable.</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time (s)</w:t>
            </w:r>
          </w:p>
        </w:tc>
      </w:tr>
      <w:tr>
        <w:trPr>
          <w:cantSplit w:val="true"/>
        </w:trPr>
        <w:tc>
          <w:tcPr>
            <w:tcW w:type="dxa" w:w="2340"/>
          </w:tcPr>
          <w:p>
            <w:r>
              <w:rPr>
                <w:sz w:val="17"/>
              </w:rPr>
              <w:t>Ohmic bulk</w:t>
            </w:r>
          </w:p>
        </w:tc>
        <w:tc>
          <w:tcPr>
            <w:tcW w:type="dxa" w:w="234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2340"/>
          </w:tcPr>
          <w:p>
            <w:r>
              <w:rPr>
                <w:sz w:val="17"/>
              </w:rPr>
              <w:t>0.03907</w:t>
            </w:r>
          </w:p>
        </w:tc>
        <w:tc>
          <w:tcPr>
            <w:tcW w:type="dxa" w:w="234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2340"/>
          </w:tcPr>
          <w:p>
            <w:r>
              <w:rPr>
                <w:sz w:val="17"/>
              </w:rPr>
              <w:t>Linearized PB</w:t>
            </w:r>
          </w:p>
        </w:tc>
        <w:tc>
          <w:tcPr>
            <w:tcW w:type="dxa" w:w="234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2340"/>
          </w:tcPr>
          <w:p>
            <w:r>
              <w:rPr>
                <w:sz w:val="17"/>
              </w:rPr>
              <w:t>0.03907</w:t>
            </w:r>
          </w:p>
        </w:tc>
        <w:tc>
          <w:tcPr>
            <w:tcW w:type="dxa" w:w="234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2340"/>
          </w:tcPr>
          <w:p>
            <w:r>
              <w:rPr>
                <w:sz w:val="17"/>
              </w:rPr>
              <w:t>POD–RBF</w:t>
            </w:r>
          </w:p>
        </w:tc>
        <w:tc>
          <w:tcPr>
            <w:tcW w:type="dxa" w:w="234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2340"/>
          </w:tcPr>
          <w:p>
            <w:r>
              <w:rPr>
                <w:sz w:val="17"/>
              </w:rPr>
              <w:t>0.03907</w:t>
            </w:r>
          </w:p>
        </w:tc>
        <w:tc>
          <w:tcPr>
            <w:tcW w:type="dxa" w:w="234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2340"/>
          </w:tcPr>
          <w:p>
            <w:r>
              <w:rPr>
                <w:sz w:val="17"/>
              </w:rPr>
              <w:t>PI-DeepONet</w:t>
            </w:r>
          </w:p>
        </w:tc>
        <w:tc>
          <w:tcPr>
            <w:tcW w:type="dxa" w:w="234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2340"/>
          </w:tcPr>
          <w:p>
            <w:r>
              <w:rPr>
                <w:sz w:val="17"/>
              </w:rPr>
              <w:t>0.03838</w:t>
            </w:r>
          </w:p>
        </w:tc>
        <w:tc>
          <w:tcPr>
            <w:tcW w:type="dxa" w:w="2340"/>
          </w:tcPr>
          <w:p>
            <m:oMath xmlns:a="http://schemas.openxmlformats.org/drawingml/2006/main" xmlns:pic="http://schemas.openxmlformats.org/drawingml/2006/picture">
              <m:r>
                <m:t>2.07</m:t>
              </m:r>
              <m:r>
                <m:rPr>
                  <m:sty m:val="p"/>
                </m:rPr>
                <m:t>×</m:t>
              </m:r>
              <m:sSup>
                <m:e>
                  <m:r>
                    <m:t>10</m:t>
                  </m:r>
                </m:e>
                <m:sup>
                  <m:r>
                    <m:rPr>
                      <m:sty m:val="p"/>
                    </m:rPr>
                    <m:t>−</m:t>
                  </m:r>
                  <m:r>
                    <m:t>4</m:t>
                  </m:r>
                </m:sup>
              </m:sSup>
            </m:oMath>
          </w:p>
        </w:tc>
      </w:tr>
      <w:tr>
        <w:trPr>
          <w:cantSplit w:val="true"/>
        </w:trPr>
        <w:tc>
          <w:tcPr>
            <w:tcW w:type="dxa" w:w="2340"/>
          </w:tcPr>
          <w:p>
            <w:r>
              <w:rPr>
                <w:sz w:val="17"/>
              </w:rPr>
              <w:t>Calibrated DINO-style</w:t>
            </w:r>
          </w:p>
        </w:tc>
        <w:tc>
          <w:tcPr>
            <w:tcW w:type="dxa" w:w="234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2340"/>
          </w:tcPr>
          <w:p>
            <w:r>
              <w:rPr>
                <w:sz w:val="17"/>
              </w:rPr>
              <w:t>0.1384</w:t>
            </w:r>
          </w:p>
        </w:tc>
        <w:tc>
          <w:tcPr>
            <w:tcW w:type="dxa" w:w="234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2340"/>
          </w:tcPr>
          <w:p>
            <w:r>
              <w:rPr>
                <w:sz w:val="17"/>
              </w:rPr>
              <w:t>One-step Gummel</w:t>
            </w:r>
          </w:p>
        </w:tc>
        <w:tc>
          <w:tcPr>
            <w:tcW w:type="dxa" w:w="234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2340"/>
          </w:tcPr>
          <w:p>
            <w:r>
              <w:rPr>
                <w:sz w:val="17"/>
              </w:rPr>
              <w:t>0.03838</w:t>
            </w:r>
          </w:p>
        </w:tc>
        <w:tc>
          <w:tcPr>
            <w:tcW w:type="dxa" w:w="2340"/>
          </w:tcPr>
          <w:p>
            <m:oMath xmlns:a="http://schemas.openxmlformats.org/drawingml/2006/main" xmlns:pic="http://schemas.openxmlformats.org/drawingml/2006/picture">
              <m:r>
                <m:t>1.02</m:t>
              </m:r>
              <m:r>
                <m:rPr>
                  <m:sty m:val="p"/>
                </m:rPr>
                <m:t>×</m:t>
              </m:r>
              <m:sSup>
                <m:e>
                  <m:r>
                    <m:t>10</m:t>
                  </m:r>
                </m:e>
                <m:sup>
                  <m:r>
                    <m:rPr>
                      <m:sty m:val="p"/>
                    </m:rPr>
                    <m:t>−</m:t>
                  </m:r>
                  <m:r>
                    <m:t>2</m:t>
                  </m:r>
                </m:sup>
              </m:sSup>
            </m:oMath>
          </w:p>
        </w:tc>
      </w:tr>
      <w:tr>
        <w:trPr>
          <w:cantSplit w:val="true"/>
        </w:trPr>
        <w:tc>
          <w:tcPr>
            <w:tcW w:type="dxa" w:w="2340"/>
          </w:tcPr>
          <w:p>
            <w:r>
              <w:rPr>
                <w:sz w:val="17"/>
              </w:rPr>
              <w:t>Full SG/FV</w:t>
            </w:r>
          </w:p>
        </w:tc>
        <w:tc>
          <w:tcPr>
            <w:tcW w:type="dxa" w:w="2340"/>
          </w:tcPr>
          <w:p>
            <w:r>
              <w:rPr>
                <w:sz w:val="17"/>
              </w:rPr>
              <w:t>0</w:t>
            </w:r>
          </w:p>
        </w:tc>
        <w:tc>
          <w:tcPr>
            <w:tcW w:type="dxa" w:w="2340"/>
          </w:tcPr>
          <w:p>
            <w:r>
              <w:rPr>
                <w:sz w:val="17"/>
              </w:rPr>
              <w:t>0</w:t>
            </w:r>
          </w:p>
        </w:tc>
        <w:tc>
          <w:tcPr>
            <w:tcW w:type="dxa" w:w="2340"/>
          </w:tcPr>
          <w:p>
            <w:r>
              <w:rPr>
                <w:sz w:val="17"/>
              </w:rPr>
              <w:t>1.575</w:t>
            </w:r>
          </w:p>
        </w:tc>
      </w:tr>
      <w:tr>
        <w:trPr>
          <w:cantSplit w:val="true"/>
        </w:trPr>
        <w:tc>
          <w:tcPr>
            <w:tcW w:type="dxa" w:w="2340"/>
          </w:tcPr>
          <w:p>
            <w:r>
              <w:rPr>
                <w:sz w:val="17"/>
              </w:rPr>
              <w:t>Pino-Controller (warm SG/FV)</w:t>
            </w:r>
          </w:p>
        </w:tc>
        <w:tc>
          <w:tcPr>
            <w:tcW w:type="dxa" w:w="2340"/>
          </w:tcPr>
          <w:p>
            <m:oMath xmlns:a="http://schemas.openxmlformats.org/drawingml/2006/main" xmlns:pic="http://schemas.openxmlformats.org/drawingml/2006/picture">
              <m:r>
                <m:t>3.03</m:t>
              </m:r>
              <m:r>
                <m:rPr>
                  <m:sty m:val="p"/>
                </m:rPr>
                <m:t>×</m:t>
              </m:r>
              <m:sSup>
                <m:e>
                  <m:r>
                    <m:t>10</m:t>
                  </m:r>
                </m:e>
                <m:sup>
                  <m:r>
                    <m:rPr>
                      <m:sty m:val="p"/>
                    </m:rPr>
                    <m:t>−</m:t>
                  </m:r>
                  <m:r>
                    <m:t>12</m:t>
                  </m:r>
                </m:sup>
              </m:sSup>
            </m:oMath>
          </w:p>
        </w:tc>
        <w:tc>
          <w:tcPr>
            <w:tcW w:type="dxa" w:w="2340"/>
          </w:tcPr>
          <w:p>
            <w:r>
              <w:rPr>
                <w:sz w:val="17"/>
              </w:rPr>
              <w:t>0.03838</w:t>
            </w:r>
          </w:p>
        </w:tc>
        <w:tc>
          <w:tcPr>
            <w:tcW w:type="dxa" w:w="2340"/>
          </w:tcPr>
          <w:p>
            <m:oMath xmlns:a="http://schemas.openxmlformats.org/drawingml/2006/main" xmlns:pic="http://schemas.openxmlformats.org/drawingml/2006/picture">
              <m:r>
                <m:t>1.65</m:t>
              </m:r>
              <m:r>
                <m:rPr>
                  <m:sty m:val="p"/>
                </m:rPr>
                <m:t>×</m:t>
              </m:r>
              <m:sSup>
                <m:e>
                  <m:r>
                    <m:t>10</m:t>
                  </m:r>
                </m:e>
                <m:sup>
                  <m:r>
                    <m:rPr>
                      <m:sty m:val="p"/>
                    </m:rPr>
                    <m:t>−</m:t>
                  </m:r>
                  <m:r>
                    <m:t>1</m:t>
                  </m:r>
                </m:sup>
              </m:sSup>
            </m:oMath>
          </w:p>
        </w:tc>
      </w:tr>
    </w:tbl>
    <w:p>
      <w:pPr>
        <w:spacing w:after="120"/>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val="true"/>
          <w:cantSplit w:val="true"/>
        </w:trPr>
        <w:tc>
          <w:tcPr>
            <w:tcW w:type="dxa" w:w="851"/>
          </w:tcPr>
          <w:p>
            <w:r>
              <w:rPr>
                <w:b/>
                <w:sz w:val="17"/>
              </w:rPr>
              <w:t>Protocol</w:t>
            </w:r>
          </w:p>
        </w:tc>
        <w:tc>
          <w:tcPr>
            <w:tcW w:type="dxa" w:w="851"/>
          </w:tcPr>
          <w:p>
            <w:r>
              <w:rPr>
                <w:b/>
                <w:sz w:val="17"/>
              </w:rPr>
              <w:t>Noise</w:t>
            </w:r>
          </w:p>
        </w:tc>
        <w:tc>
          <w:tcPr>
            <w:tcW w:type="dxa" w:w="851"/>
          </w:tcPr>
          <w:p>
            <m:oMath xmlns:a="http://schemas.openxmlformats.org/drawingml/2006/main" xmlns:pic="http://schemas.openxmlformats.org/drawingml/2006/picture">
              <m:sSub>
                <m:e>
                  <m:r>
                    <m:t>q</m:t>
                  </m:r>
                </m:e>
                <m:sub>
                  <m:r>
                    <m:t>w</m:t>
                  </m:r>
                </m:sub>
              </m:sSub>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weak</w:t>
            </w:r>
          </w:p>
        </w:tc>
        <w:tc>
          <w:tcPr>
            <w:tcW w:type="dxa" w:w="851"/>
          </w:tcPr>
          <w:p>
            <m:oMath xmlns:a="http://schemas.openxmlformats.org/drawingml/2006/main" xmlns:pic="http://schemas.openxmlformats.org/drawingml/2006/picture">
              <m:sSub>
                <m:e>
                  <m:r>
                    <m:t>q</m:t>
                  </m:r>
                </m:e>
                <m:sub>
                  <m:r>
                    <m:t>w</m:t>
                  </m:r>
                </m:sub>
              </m:sSub>
            </m:oMath>
            <w:r>
              <w:rPr>
                <w:b/>
                <w:sz w:val="17"/>
              </w:rPr>
              <w:t xml:space="preserve"> trans.</w:t>
            </w:r>
          </w:p>
        </w:tc>
        <w:tc>
          <w:tcPr>
            <w:tcW w:type="dxa" w:w="851"/>
          </w:tcPr>
          <w:p>
            <m:oMath xmlns:a="http://schemas.openxmlformats.org/drawingml/2006/main" xmlns:pic="http://schemas.openxmlformats.org/drawingml/2006/picture">
              <m:sSub>
                <m:e>
                  <m:r>
                    <m:t>q</m:t>
                  </m:r>
                </m:e>
                <m:sub>
                  <m:r>
                    <m:t>w</m:t>
                  </m:r>
                </m:sub>
              </m:sSub>
            </m:oMath>
            <w:r>
              <w:rPr>
                <w:b/>
                <w:sz w:val="17"/>
              </w:rPr>
              <w:t xml:space="preserve"> strong</w:t>
            </w:r>
          </w:p>
        </w:tc>
        <w:tc>
          <w:tcPr>
            <w:tcW w:type="dxa" w:w="851"/>
          </w:tcPr>
          <w:p>
            <m:oMath xmlns:a="http://schemas.openxmlformats.org/drawingml/2006/main" xmlns:pic="http://schemas.openxmlformats.org/drawingml/2006/picture">
              <m:r>
                <m:t>R</m:t>
              </m:r>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cov. all</w:t>
            </w:r>
          </w:p>
        </w:tc>
        <w:tc>
          <w:tcPr>
            <w:tcW w:type="dxa" w:w="851"/>
          </w:tcPr>
          <w:p>
            <w:r>
              <w:rPr>
                <w:b/>
                <w:sz w:val="17"/>
              </w:rPr>
              <w:t>weak</w:t>
            </w:r>
          </w:p>
        </w:tc>
        <w:tc>
          <w:tcPr>
            <w:tcW w:type="dxa" w:w="851"/>
          </w:tcPr>
          <w:p>
            <w:r>
              <w:rPr>
                <w:b/>
                <w:sz w:val="17"/>
              </w:rPr>
              <w:t>trans.</w:t>
            </w:r>
          </w:p>
        </w:tc>
        <w:tc>
          <w:tcPr>
            <w:tcW w:type="dxa" w:w="851"/>
          </w:tcPr>
          <w:p>
            <w:r>
              <w:rPr>
                <w:b/>
                <w:sz w:val="17"/>
              </w:rPr>
              <w:t>strong</w:t>
            </w:r>
          </w:p>
        </w:tc>
      </w:tr>
      <w:tr>
        <w:trPr>
          <w:cantSplit w:val="true"/>
        </w:trPr>
        <w:tc>
          <w:tcPr>
            <w:tcW w:type="dxa" w:w="851"/>
          </w:tcPr>
          <w:p>
            <w:r>
              <w:rPr>
                <w:sz w:val="17"/>
              </w:rPr>
              <w:t>single salt</w:t>
            </w:r>
          </w:p>
        </w:tc>
        <w:tc>
          <w:tcPr>
            <w:tcW w:type="dxa" w:w="851"/>
          </w:tcPr>
          <w:p>
            <w:r>
              <w:rPr>
                <w:sz w:val="17"/>
              </w:rPr>
              <w:t>0.2\%</w:t>
            </w:r>
          </w:p>
        </w:tc>
        <w:tc>
          <w:tcPr>
            <w:tcW w:type="dxa" w:w="851"/>
          </w:tcPr>
          <w:p>
            <w:r>
              <w:rPr>
                <w:sz w:val="17"/>
              </w:rPr>
              <w:t>140.71\%</w:t>
            </w:r>
          </w:p>
        </w:tc>
        <w:tc>
          <w:tcPr>
            <w:tcW w:type="dxa" w:w="851"/>
          </w:tcPr>
          <w:p>
            <w:r>
              <w:rPr>
                <w:sz w:val="17"/>
              </w:rPr>
              <w:t>997.51\%</w:t>
            </w:r>
          </w:p>
        </w:tc>
        <w:tc>
          <w:tcPr>
            <w:tcW w:type="dxa" w:w="851"/>
          </w:tcPr>
          <w:p>
            <w:r>
              <w:rPr>
                <w:sz w:val="17"/>
              </w:rPr>
              <w:t>486.04\%</w:t>
            </w:r>
          </w:p>
        </w:tc>
        <w:tc>
          <w:tcPr>
            <w:tcW w:type="dxa" w:w="851"/>
          </w:tcPr>
          <w:p>
            <w:r>
              <w:rPr>
                <w:sz w:val="17"/>
              </w:rPr>
              <w:t>70.48\%</w:t>
            </w:r>
          </w:p>
        </w:tc>
        <w:tc>
          <w:tcPr>
            <w:tcW w:type="dxa" w:w="851"/>
          </w:tcPr>
          <w:p>
            <w:r>
              <w:rPr>
                <w:sz w:val="17"/>
              </w:rPr>
              <w:t>0.34\%</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1\%</w:t>
            </w:r>
          </w:p>
        </w:tc>
        <w:tc>
          <w:tcPr>
            <w:tcW w:type="dxa" w:w="851"/>
          </w:tcPr>
          <w:p>
            <w:r>
              <w:rPr>
                <w:sz w:val="17"/>
              </w:rPr>
              <w:t>140.41\%</w:t>
            </w:r>
          </w:p>
        </w:tc>
        <w:tc>
          <w:tcPr>
            <w:tcW w:type="dxa" w:w="851"/>
          </w:tcPr>
          <w:p>
            <w:r>
              <w:rPr>
                <w:sz w:val="17"/>
              </w:rPr>
              <w:t>1605.31\%</w:t>
            </w:r>
          </w:p>
        </w:tc>
        <w:tc>
          <w:tcPr>
            <w:tcW w:type="dxa" w:w="851"/>
          </w:tcPr>
          <w:p>
            <w:r>
              <w:rPr>
                <w:sz w:val="17"/>
              </w:rPr>
              <w:t>485.20\%</w:t>
            </w:r>
          </w:p>
        </w:tc>
        <w:tc>
          <w:tcPr>
            <w:tcW w:type="dxa" w:w="851"/>
          </w:tcPr>
          <w:p>
            <w:r>
              <w:rPr>
                <w:sz w:val="17"/>
              </w:rPr>
              <w:t>77.31\%</w:t>
            </w:r>
          </w:p>
        </w:tc>
        <w:tc>
          <w:tcPr>
            <w:tcW w:type="dxa" w:w="851"/>
          </w:tcPr>
          <w:p>
            <w:r>
              <w:rPr>
                <w:sz w:val="17"/>
              </w:rPr>
              <w:t>0.30\%</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2\%</w:t>
            </w:r>
          </w:p>
        </w:tc>
        <w:tc>
          <w:tcPr>
            <w:tcW w:type="dxa" w:w="851"/>
          </w:tcPr>
          <w:p>
            <w:r>
              <w:rPr>
                <w:sz w:val="17"/>
              </w:rPr>
              <w:t>138.44\%</w:t>
            </w:r>
          </w:p>
        </w:tc>
        <w:tc>
          <w:tcPr>
            <w:tcW w:type="dxa" w:w="851"/>
          </w:tcPr>
          <w:p>
            <w:r>
              <w:rPr>
                <w:sz w:val="17"/>
              </w:rPr>
              <w:t>940.83\%</w:t>
            </w:r>
          </w:p>
        </w:tc>
        <w:tc>
          <w:tcPr>
            <w:tcW w:type="dxa" w:w="851"/>
          </w:tcPr>
          <w:p>
            <w:r>
              <w:rPr>
                <w:sz w:val="17"/>
              </w:rPr>
              <w:t>206.11\%</w:t>
            </w:r>
          </w:p>
        </w:tc>
        <w:tc>
          <w:tcPr>
            <w:tcW w:type="dxa" w:w="851"/>
          </w:tcPr>
          <w:p>
            <w:r>
              <w:rPr>
                <w:sz w:val="17"/>
              </w:rPr>
              <w:t>67.67\%</w:t>
            </w:r>
          </w:p>
        </w:tc>
        <w:tc>
          <w:tcPr>
            <w:tcW w:type="dxa" w:w="851"/>
          </w:tcPr>
          <w:p>
            <w:r>
              <w:rPr>
                <w:sz w:val="17"/>
              </w:rPr>
              <w:t>0.49\%</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reversal potential</w:t>
            </w:r>
          </w:p>
        </w:tc>
        <w:tc>
          <w:tcPr>
            <w:tcW w:type="dxa" w:w="851"/>
          </w:tcPr>
          <w:p>
            <w:r>
              <w:rPr>
                <w:sz w:val="17"/>
              </w:rPr>
              <w:t>0.2\%</w:t>
            </w:r>
          </w:p>
        </w:tc>
        <w:tc>
          <w:tcPr>
            <w:tcW w:type="dxa" w:w="851"/>
          </w:tcPr>
          <w:p>
            <w:r>
              <w:rPr>
                <w:sz w:val="17"/>
              </w:rPr>
              <w:t>31.92\%</w:t>
            </w:r>
          </w:p>
        </w:tc>
        <w:tc>
          <w:tcPr>
            <w:tcW w:type="dxa" w:w="851"/>
          </w:tcPr>
          <w:p>
            <w:r>
              <w:rPr>
                <w:sz w:val="17"/>
              </w:rPr>
              <w:t>94.03\%</w:t>
            </w:r>
          </w:p>
        </w:tc>
        <w:tc>
          <w:tcPr>
            <w:tcW w:type="dxa" w:w="851"/>
          </w:tcPr>
          <w:p>
            <w:r>
              <w:rPr>
                <w:sz w:val="17"/>
              </w:rPr>
              <w:t>72.22\%</w:t>
            </w:r>
          </w:p>
        </w:tc>
        <w:tc>
          <w:tcPr>
            <w:tcW w:type="dxa" w:w="851"/>
          </w:tcPr>
          <w:p>
            <w:r>
              <w:rPr>
                <w:sz w:val="17"/>
              </w:rPr>
              <w:t>6.09\%</w:t>
            </w:r>
          </w:p>
        </w:tc>
        <w:tc>
          <w:tcPr>
            <w:tcW w:type="dxa" w:w="851"/>
          </w:tcPr>
          <w:p>
            <w:r>
              <w:rPr>
                <w:sz w:val="17"/>
              </w:rPr>
              <w:t>0.05\%</w:t>
            </w:r>
          </w:p>
        </w:tc>
        <w:tc>
          <w:tcPr>
            <w:tcW w:type="dxa" w:w="851"/>
          </w:tcPr>
          <w:p>
            <w:r>
              <w:rPr>
                <w:sz w:val="17"/>
              </w:rPr>
              <w:t>62\%</w:t>
            </w:r>
          </w:p>
        </w:tc>
        <w:tc>
          <w:tcPr>
            <w:tcW w:type="dxa" w:w="851"/>
          </w:tcPr>
          <w:p>
            <w:r>
              <w:rPr>
                <w:sz w:val="17"/>
              </w:rPr>
              <w:t>58\%</w:t>
            </w:r>
          </w:p>
        </w:tc>
        <w:tc>
          <w:tcPr>
            <w:tcW w:type="dxa" w:w="851"/>
          </w:tcPr>
          <w:p>
            <w:r>
              <w:rPr>
                <w:sz w:val="17"/>
              </w:rPr>
              <w:t>49\%</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1\%</w:t>
            </w:r>
          </w:p>
        </w:tc>
        <w:tc>
          <w:tcPr>
            <w:tcW w:type="dxa" w:w="851"/>
          </w:tcPr>
          <w:p>
            <w:r>
              <w:rPr>
                <w:sz w:val="17"/>
              </w:rPr>
              <w:t>20.67\%</w:t>
            </w:r>
          </w:p>
        </w:tc>
        <w:tc>
          <w:tcPr>
            <w:tcW w:type="dxa" w:w="851"/>
          </w:tcPr>
          <w:p>
            <w:r>
              <w:rPr>
                <w:sz w:val="17"/>
              </w:rPr>
              <w:t>263.41\%</w:t>
            </w:r>
          </w:p>
        </w:tc>
        <w:tc>
          <w:tcPr>
            <w:tcW w:type="dxa" w:w="851"/>
          </w:tcPr>
          <w:p>
            <w:r>
              <w:rPr>
                <w:sz w:val="17"/>
              </w:rPr>
              <w:t>37.65\%</w:t>
            </w:r>
          </w:p>
        </w:tc>
        <w:tc>
          <w:tcPr>
            <w:tcW w:type="dxa" w:w="851"/>
          </w:tcPr>
          <w:p>
            <w:r>
              <w:rPr>
                <w:sz w:val="17"/>
              </w:rPr>
              <w:t>7.29\%</w:t>
            </w:r>
          </w:p>
        </w:tc>
        <w:tc>
          <w:tcPr>
            <w:tcW w:type="dxa" w:w="851"/>
          </w:tcPr>
          <w:p>
            <w:r>
              <w:rPr>
                <w:sz w:val="17"/>
              </w:rPr>
              <w:t>0.20\%</w:t>
            </w:r>
          </w:p>
        </w:tc>
        <w:tc>
          <w:tcPr>
            <w:tcW w:type="dxa" w:w="851"/>
          </w:tcPr>
          <w:p>
            <w:r>
              <w:rPr>
                <w:sz w:val="17"/>
              </w:rPr>
              <w:t>56\%</w:t>
            </w:r>
          </w:p>
        </w:tc>
        <w:tc>
          <w:tcPr>
            <w:tcW w:type="dxa" w:w="851"/>
          </w:tcPr>
          <w:p>
            <w:r>
              <w:rPr>
                <w:sz w:val="17"/>
              </w:rPr>
              <w:t>44\%</w:t>
            </w:r>
          </w:p>
        </w:tc>
        <w:tc>
          <w:tcPr>
            <w:tcW w:type="dxa" w:w="851"/>
          </w:tcPr>
          <w:p>
            <w:r>
              <w:rPr>
                <w:sz w:val="17"/>
              </w:rPr>
              <w:t>46\%</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2\%</w:t>
            </w:r>
          </w:p>
        </w:tc>
        <w:tc>
          <w:tcPr>
            <w:tcW w:type="dxa" w:w="851"/>
          </w:tcPr>
          <w:p>
            <w:r>
              <w:rPr>
                <w:sz w:val="17"/>
              </w:rPr>
              <w:t>24.18\%</w:t>
            </w:r>
          </w:p>
        </w:tc>
        <w:tc>
          <w:tcPr>
            <w:tcW w:type="dxa" w:w="851"/>
          </w:tcPr>
          <w:p>
            <w:r>
              <w:rPr>
                <w:sz w:val="17"/>
              </w:rPr>
              <w:t>382.51\%</w:t>
            </w:r>
          </w:p>
        </w:tc>
        <w:tc>
          <w:tcPr>
            <w:tcW w:type="dxa" w:w="851"/>
          </w:tcPr>
          <w:p>
            <w:r>
              <w:rPr>
                <w:sz w:val="17"/>
              </w:rPr>
              <w:t>44.42\%</w:t>
            </w:r>
          </w:p>
        </w:tc>
        <w:tc>
          <w:tcPr>
            <w:tcW w:type="dxa" w:w="851"/>
          </w:tcPr>
          <w:p>
            <w:r>
              <w:rPr>
                <w:sz w:val="17"/>
              </w:rPr>
              <w:t>7.72\%</w:t>
            </w:r>
          </w:p>
        </w:tc>
        <w:tc>
          <w:tcPr>
            <w:tcW w:type="dxa" w:w="851"/>
          </w:tcPr>
          <w:p>
            <w:r>
              <w:rPr>
                <w:sz w:val="17"/>
              </w:rPr>
              <w:t>0.33\%</w:t>
            </w:r>
          </w:p>
        </w:tc>
        <w:tc>
          <w:tcPr>
            <w:tcW w:type="dxa" w:w="851"/>
          </w:tcPr>
          <w:p>
            <w:r>
              <w:rPr>
                <w:sz w:val="17"/>
              </w:rPr>
              <w:t>52\%</w:t>
            </w:r>
          </w:p>
        </w:tc>
        <w:tc>
          <w:tcPr>
            <w:tcW w:type="dxa" w:w="851"/>
          </w:tcPr>
          <w:p>
            <w:r>
              <w:rPr>
                <w:sz w:val="17"/>
              </w:rPr>
              <w:t>35\%</w:t>
            </w:r>
          </w:p>
        </w:tc>
        <w:tc>
          <w:tcPr>
            <w:tcW w:type="dxa" w:w="851"/>
          </w:tcPr>
          <w:p>
            <w:r>
              <w:rPr>
                <w:sz w:val="17"/>
              </w:rPr>
              <w:t>40\%</w:t>
            </w:r>
          </w:p>
        </w:tc>
        <w:tc>
          <w:tcPr>
            <w:tcW w:type="dxa" w:w="851"/>
          </w:tcPr>
          <w:p>
            <w:r>
              <w:rPr>
                <w:sz w:val="17"/>
              </w:rPr>
              <w:t>80\%</w:t>
            </w:r>
          </w:p>
        </w:tc>
      </w:tr>
      <w:tr>
        <w:trPr>
          <w:cantSplit w:val="true"/>
        </w:trPr>
        <w:tc>
          <w:tcPr>
            <w:tcW w:type="dxa" w:w="851"/>
          </w:tcPr>
          <w:p>
            <w:r>
              <w:rPr>
                <w:sz w:val="17"/>
              </w:rPr>
              <w:t>dual + selectivity</w:t>
            </w:r>
          </w:p>
        </w:tc>
        <w:tc>
          <w:tcPr>
            <w:tcW w:type="dxa" w:w="851"/>
          </w:tcPr>
          <w:p>
            <w:r>
              <w:rPr>
                <w:sz w:val="17"/>
              </w:rPr>
              <w:t>0.2\%</w:t>
            </w:r>
          </w:p>
        </w:tc>
        <w:tc>
          <w:tcPr>
            <w:tcW w:type="dxa" w:w="851"/>
          </w:tcPr>
          <w:p>
            <w:r>
              <w:rPr>
                <w:sz w:val="17"/>
              </w:rPr>
              <w:t>1.47\%</w:t>
            </w:r>
          </w:p>
        </w:tc>
        <w:tc>
          <w:tcPr>
            <w:tcW w:type="dxa" w:w="851"/>
          </w:tcPr>
          <w:p>
            <w:r>
              <w:rPr>
                <w:sz w:val="17"/>
              </w:rPr>
              <w:t>1.41\%</w:t>
            </w:r>
          </w:p>
        </w:tc>
        <w:tc>
          <w:tcPr>
            <w:tcW w:type="dxa" w:w="851"/>
          </w:tcPr>
          <w:p>
            <w:r>
              <w:rPr>
                <w:sz w:val="17"/>
              </w:rPr>
              <w:t>1.36\%</w:t>
            </w:r>
          </w:p>
        </w:tc>
        <w:tc>
          <w:tcPr>
            <w:tcW w:type="dxa" w:w="851"/>
          </w:tcPr>
          <w:p>
            <w:r>
              <w:rPr>
                <w:sz w:val="17"/>
              </w:rPr>
              <w:t>2.62\%</w:t>
            </w:r>
          </w:p>
        </w:tc>
        <w:tc>
          <w:tcPr>
            <w:tcW w:type="dxa" w:w="851"/>
          </w:tcPr>
          <w:p>
            <w:r>
              <w:rPr>
                <w:sz w:val="17"/>
              </w:rPr>
              <w:t>0.03\%</w:t>
            </w:r>
          </w:p>
        </w:tc>
        <w:tc>
          <w:tcPr>
            <w:tcW w:type="dxa" w:w="851"/>
          </w:tcPr>
          <w:p>
            <w:r>
              <w:rPr>
                <w:sz w:val="17"/>
              </w:rPr>
              <w:t>4\%</w:t>
            </w:r>
          </w:p>
        </w:tc>
        <w:tc>
          <w:tcPr>
            <w:tcW w:type="dxa" w:w="851"/>
          </w:tcPr>
          <w:p>
            <w:r>
              <w:rPr>
                <w:sz w:val="17"/>
              </w:rPr>
              <w:t>13\%</w:t>
            </w:r>
          </w:p>
        </w:tc>
        <w:tc>
          <w:tcPr>
            <w:tcW w:type="dxa" w:w="851"/>
          </w:tcPr>
          <w:p>
            <w:r>
              <w:rPr>
                <w:sz w:val="17"/>
              </w:rPr>
              <w:t>0\%</w:t>
            </w:r>
          </w:p>
        </w:tc>
        <w:tc>
          <w:tcPr>
            <w:tcW w:type="dxa" w:w="851"/>
          </w:tcPr>
          <w:p>
            <w:r>
              <w:rPr>
                <w:sz w:val="17"/>
              </w:rPr>
              <w:t>0\%</w:t>
            </w:r>
          </w:p>
        </w:tc>
      </w:tr>
      <w:tr>
        <w:trPr>
          <w:cantSplit w:val="true"/>
        </w:trPr>
        <w:tc>
          <w:tcPr>
            <w:tcW w:type="dxa" w:w="851"/>
          </w:tcPr>
          <w:p>
            <w:r>
              <w:rPr>
                <w:sz w:val="17"/>
              </w:rPr>
              <w:t>dual + selectivity</w:t>
            </w:r>
          </w:p>
        </w:tc>
        <w:tc>
          <w:tcPr>
            <w:tcW w:type="dxa" w:w="851"/>
          </w:tcPr>
          <w:p>
            <w:r>
              <w:rPr>
                <w:sz w:val="17"/>
              </w:rPr>
              <w:t>1\%</w:t>
            </w:r>
          </w:p>
        </w:tc>
        <w:tc>
          <w:tcPr>
            <w:tcW w:type="dxa" w:w="851"/>
          </w:tcPr>
          <w:p>
            <w:r>
              <w:rPr>
                <w:sz w:val="17"/>
              </w:rPr>
              <w:t>1.72\%</w:t>
            </w:r>
          </w:p>
        </w:tc>
        <w:tc>
          <w:tcPr>
            <w:tcW w:type="dxa" w:w="851"/>
          </w:tcPr>
          <w:p>
            <w:r>
              <w:rPr>
                <w:sz w:val="17"/>
              </w:rPr>
              <w:t>1.38\%</w:t>
            </w:r>
          </w:p>
        </w:tc>
        <w:tc>
          <w:tcPr>
            <w:tcW w:type="dxa" w:w="851"/>
          </w:tcPr>
          <w:p>
            <w:r>
              <w:rPr>
                <w:sz w:val="17"/>
              </w:rPr>
              <w:t>1.40\%</w:t>
            </w:r>
          </w:p>
        </w:tc>
        <w:tc>
          <w:tcPr>
            <w:tcW w:type="dxa" w:w="851"/>
          </w:tcPr>
          <w:p>
            <w:r>
              <w:rPr>
                <w:sz w:val="17"/>
              </w:rPr>
              <w:t>2.41\%</w:t>
            </w:r>
          </w:p>
        </w:tc>
        <w:tc>
          <w:tcPr>
            <w:tcW w:type="dxa" w:w="851"/>
          </w:tcPr>
          <w:p>
            <w:r>
              <w:rPr>
                <w:sz w:val="17"/>
              </w:rPr>
              <w:t>0.17\%</w:t>
            </w:r>
          </w:p>
        </w:tc>
        <w:tc>
          <w:tcPr>
            <w:tcW w:type="dxa" w:w="851"/>
          </w:tcPr>
          <w:p>
            <w:r>
              <w:rPr>
                <w:sz w:val="17"/>
              </w:rPr>
              <w:t>68\%</w:t>
            </w:r>
          </w:p>
        </w:tc>
        <w:tc>
          <w:tcPr>
            <w:tcW w:type="dxa" w:w="851"/>
          </w:tcPr>
          <w:p>
            <w:r>
              <w:rPr>
                <w:sz w:val="17"/>
              </w:rPr>
              <w:t>89\%</w:t>
            </w:r>
          </w:p>
        </w:tc>
        <w:tc>
          <w:tcPr>
            <w:tcW w:type="dxa" w:w="851"/>
          </w:tcPr>
          <w:p>
            <w:r>
              <w:rPr>
                <w:sz w:val="17"/>
              </w:rPr>
              <w:t>70\%</w:t>
            </w:r>
          </w:p>
        </w:tc>
        <w:tc>
          <w:tcPr>
            <w:tcW w:type="dxa" w:w="851"/>
          </w:tcPr>
          <w:p>
            <w:r>
              <w:rPr>
                <w:sz w:val="17"/>
              </w:rPr>
              <w:t>44\%</w:t>
            </w:r>
          </w:p>
        </w:tc>
      </w:tr>
      <w:tr>
        <w:trPr>
          <w:cantSplit w:val="true"/>
        </w:trPr>
        <w:tc>
          <w:tcPr>
            <w:tcW w:type="dxa" w:w="851"/>
          </w:tcPr>
          <w:p>
            <w:r>
              <w:rPr>
                <w:sz w:val="17"/>
              </w:rPr>
              <w:t>dual + selectivity</w:t>
            </w:r>
          </w:p>
        </w:tc>
        <w:tc>
          <w:tcPr>
            <w:tcW w:type="dxa" w:w="851"/>
          </w:tcPr>
          <w:p>
            <w:r>
              <w:rPr>
                <w:sz w:val="17"/>
              </w:rPr>
              <w:t>2\%</w:t>
            </w:r>
          </w:p>
        </w:tc>
        <w:tc>
          <w:tcPr>
            <w:tcW w:type="dxa" w:w="851"/>
          </w:tcPr>
          <w:p>
            <w:r>
              <w:rPr>
                <w:sz w:val="17"/>
              </w:rPr>
              <w:t>2.29\%</w:t>
            </w:r>
          </w:p>
        </w:tc>
        <w:tc>
          <w:tcPr>
            <w:tcW w:type="dxa" w:w="851"/>
          </w:tcPr>
          <w:p>
            <w:r>
              <w:rPr>
                <w:sz w:val="17"/>
              </w:rPr>
              <w:t>2.55\%</w:t>
            </w:r>
          </w:p>
        </w:tc>
        <w:tc>
          <w:tcPr>
            <w:tcW w:type="dxa" w:w="851"/>
          </w:tcPr>
          <w:p>
            <w:r>
              <w:rPr>
                <w:sz w:val="17"/>
              </w:rPr>
              <w:t>1.80\%</w:t>
            </w:r>
          </w:p>
        </w:tc>
        <w:tc>
          <w:tcPr>
            <w:tcW w:type="dxa" w:w="851"/>
          </w:tcPr>
          <w:p>
            <w:r>
              <w:rPr>
                <w:sz w:val="17"/>
              </w:rPr>
              <w:t>2.74\%</w:t>
            </w:r>
          </w:p>
        </w:tc>
        <w:tc>
          <w:tcPr>
            <w:tcW w:type="dxa" w:w="851"/>
          </w:tcPr>
          <w:p>
            <w:r>
              <w:rPr>
                <w:sz w:val="17"/>
              </w:rPr>
              <w:t>0.39\%</w:t>
            </w:r>
          </w:p>
        </w:tc>
        <w:tc>
          <w:tcPr>
            <w:tcW w:type="dxa" w:w="851"/>
          </w:tcPr>
          <w:p>
            <w:r>
              <w:rPr>
                <w:sz w:val="17"/>
              </w:rPr>
              <w:t>87\%</w:t>
            </w:r>
          </w:p>
        </w:tc>
        <w:tc>
          <w:tcPr>
            <w:tcW w:type="dxa" w:w="851"/>
          </w:tcPr>
          <w:p>
            <w:r>
              <w:rPr>
                <w:sz w:val="17"/>
              </w:rPr>
              <w:t>87\%</w:t>
            </w:r>
          </w:p>
        </w:tc>
        <w:tc>
          <w:tcPr>
            <w:tcW w:type="dxa" w:w="851"/>
          </w:tcPr>
          <w:p>
            <w:r>
              <w:rPr>
                <w:sz w:val="17"/>
              </w:rPr>
              <w:t>91\%</w:t>
            </w:r>
          </w:p>
        </w:tc>
        <w:tc>
          <w:tcPr>
            <w:tcW w:type="dxa" w:w="851"/>
          </w:tcPr>
          <w:p>
            <w:r>
              <w:rPr>
                <w:sz w:val="17"/>
              </w:rPr>
              <w:t>83\%</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8.63-fold (DeepONet) and 10.29-fold (FNO), but much of that gap is an optimization pathology: with the matched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Fifteen held-out interpolation states selected to span the Debye-overlap range. Five of these are also used for the SG/FV-in-the-loop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Single-salt uses the state's own </w:t>
      </w:r>
      <m:oMath xmlns:a="http://schemas.openxmlformats.org/drawingml/2006/main" xmlns:pic="http://schemas.openxmlformats.org/drawingml/2006/picture">
        <m:sSub>
          <m:e>
            <m:r>
              <m:t>C</m:t>
            </m:r>
          </m:e>
          <m:sub>
            <m:r>
              <m:t>0</m:t>
            </m:r>
          </m:sub>
        </m:sSub>
      </m:oMath>
      <w:r>
        <w:t xml:space="preserve">;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20 realizations are used per state–protocol–noise cell.</w:t>
      </w:r>
    </w:p>
    <w:p>
      <w:r>
        <w:rPr>
          <w:b/>
        </w:rPr>
        <w:t>Search.</w:t>
      </w:r>
      <w:r>
        <w:t xml:space="preserve">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We report medians, interquartile ranges, and 95\% coverage over the 300 realizations per cell.</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SG/FV-in-the-loop check, and S19 for the </w:t>
      </w:r>
      <m:oMath xmlns:a="http://schemas.openxmlformats.org/drawingml/2006/main" xmlns:pic="http://schemas.openxmlformats.org/drawingml/2006/picture">
        <m:r>
          <m:t>8</m:t>
        </m:r>
        <m:r>
          <m:rPr>
            <m:sty m:val="p"/>
          </m:rPr>
          <m:t>×</m:t>
        </m:r>
        <m:r>
          <m:t>8</m:t>
        </m:r>
      </m:oMath>
      <w:r>
        <w:t xml:space="preserve"> exact sensitivity comparison. At 1\% noise, single- and multi-salt inversion leave the median </w:t>
      </w:r>
      <m:oMath xmlns:a="http://schemas.openxmlformats.org/drawingml/2006/main" xmlns:pic="http://schemas.openxmlformats.org/drawingml/2006/picture">
        <m:sSub>
          <m:e>
            <m:r>
              <m:t>q</m:t>
            </m:r>
          </m:e>
          <m:sub>
            <m:r>
              <m:t>w</m:t>
            </m:r>
          </m:sub>
        </m:sSub>
      </m:oMath>
      <w:r>
        <w:t xml:space="preserve"> error at 100\%, while the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SG/FV-in-the-loop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at every operating point, which is why conductance-only inversion cannot recover </w:t>
      </w:r>
      <m:oMath xmlns:a="http://schemas.openxmlformats.org/drawingml/2006/main" xmlns:pic="http://schemas.openxmlformats.org/drawingml/2006/picture">
        <m:sSub>
          <m:e>
            <m:r>
              <m:t>q</m:t>
            </m:r>
          </m:e>
          <m:sub>
            <m:r>
              <m:t>w</m:t>
            </m:r>
          </m:sub>
        </m:sSub>
      </m:oMath>
      <w:r>
        <w:t>. Multi-salt current–voltage data do not remove the degeneracy; the independent near-wall selectivity observable does, reducing the median 1\%-noise charge error to 4.8\%.</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Stage-19 hybrid solver and reversal-potential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