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Charge-balanced neural operators, conductance identifiability limits, and warm-started finite-volume solvers for nanopore ion transport</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in 0.072 ms with 13% lower net-charge error.</w:t>
      </w:r>
    </w:p>
    <w:p>
      <w:pPr>
        <w:pStyle w:val="ListBullet"/>
      </w:pPr>
      <w:r>
        <w:t xml:space="preserve">Exact SG/FV Jacobians validate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w:t>
      </w:r>
    </w:p>
    <w:p>
      <w:pPr>
        <w:pStyle w:val="ListBullet"/>
      </w:pPr>
      <w:r>
        <w:t>Negative-</w:t>
      </w:r>
      <m:oMath xmlns:a="http://schemas.openxmlformats.org/drawingml/2006/main" xmlns:pic="http://schemas.openxmlformats.org/drawingml/2006/picture">
        <m:sSub>
          <m:e>
            <m:r>
              <m:t>q</m:t>
            </m:r>
          </m:e>
          <m:sub>
            <m:r>
              <m:t>w</m:t>
            </m:r>
          </m:sub>
        </m:sSub>
      </m:oMath>
      <w:r>
        <w:t xml:space="preserve"> Fisher is ill-conditioned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t>).</w:t>
      </w:r>
    </w:p>
    <w:p>
      <w:pPr>
        <w:pStyle w:val="ListBullet"/>
      </w:pPr>
      <w:r>
        <w:t>Blind dual inversion: 1.7% charge error, 68% 95% coverage at 1% noise.</w:t>
      </w:r>
    </w:p>
    <w:p>
      <w:pPr>
        <w:pStyle w:val="ListBullet"/>
      </w:pPr>
      <w:r>
        <w:t>Warm-started solver: 3×10⁻¹² error; 1.54× speedup (forward), 1.19× (reversal).</w:t>
      </w:r>
    </w:p>
    <w:p>
      <w:pPr>
        <w:pStyle w:val="Heading2"/>
      </w:pPr>
      <w:r>
        <w:t>Abstract</w:t>
      </w:r>
    </w:p>
    <w:p>
      <w:r>
        <w:t xml:space="preserve">Inferring nanopore surface charge and geometry from ionic current–voltage data is central to nanofluidic sensing, but repeated Poisson–Nernst–Planck (PNP) solves are too slow for exhaustive identifiability mapping. We present PINO-Nanopore, an exact-boundary, charge-balanced operator for axisymmetric PNP transport over voltage, salinity, wall charge, and radius, used to map regime-dependent conductance identifiability. A 240-state SG/FV benchmark has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 multi-scale radial physics-informed DeepONet (36,880 parameters) and a real-DFT Fourier neural operator (460,488 parameters) enforce reservoir data and charge identity to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The DeepONet reaches relative </w:t>
      </w:r>
      <m:oMath xmlns:a="http://schemas.openxmlformats.org/drawingml/2006/main" xmlns:pic="http://schemas.openxmlformats.org/drawingml/2006/picture">
        <m:sSub>
          <m:e>
            <m:r>
              <m:t>L</m:t>
            </m:r>
          </m:e>
          <m:sub>
            <m:r>
              <m:t>2</m:t>
            </m:r>
          </m:sub>
        </m:sSub>
      </m:oMath>
      <w:r>
        <w:t xml:space="preserve"> errors of 0.00089 for potential and 0.00109 for current (0.0202/0.00136 out of distribution) at 0.072 ms per state. Against a matched direct-concentration loss, charge-balanced outputs lower median net-charge error from 0.238 to 0.207 with 18% lower current error; linearized-Poisson–Boltzmann, POD-RBF, and FNO baselines are reported. Exact float64 SG/FV Jacobians reproduce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xml:space="preserve">), with 1%-noise CRLBs of 0.37% for radius but 86 for charge. Single- and multi-salt inversion leave charge unidentifiable. A 2,700-realization blind inverse study gives a dual current-plus-selectivity median charge error of 1.7% but only 68% 95% coverage at 1% noise; the reversal potential is state dependent (263% weak-charge, 7.3% strong-charge), and a reference-free warm-started controller reproduces the SG/FV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0.153 s, 1.54-fold below a cold solve for Task A (forward solve) and 1.19-fold for Task B (reversal-potential root search). A strong-charge benchmark lowers current error 23-fold.</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CPC Library link to program files:</w:t>
      </w:r>
      <w:r>
        <w:t xml:space="preserve"> To be added by the CPC Technical Editor</w:t>
      </w:r>
    </w:p>
    <w:p>
      <w:r>
        <w:rPr>
          <w:b/>
        </w:rPr>
        <w:t>Developer's repository link:</w:t>
      </w:r>
      <w:r>
        <w:t xml:space="preserve"> https://github.com/Javad-Alizargar/nanopore-pino-surrogate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S1–S22)</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dual-engine browser simulator that can switch between the operator and an in-browser SG/FV solve. It was developed on an Apple M1 (arm64) with macOS 14.1, 8 GB RAM, and one CPU core (no GPU required); the dependencies support Linux, Windows, and x86-64 or arm64 systems with Python 3.10+ and a modern browser. The repository README documents installation, file layout, and execution, and the </w:t>
      </w:r>
      <w:r>
        <w:rPr>
          <w:rFonts w:ascii="Consolas" w:hAnsi="Consolas"/>
          <w:sz w:val="19"/>
        </w:rPr>
        <w:t>test_run/</w:t>
      </w:r>
      <w:r>
        <w:t xml:space="preserve"> directory provides a self-contained sample input and expected output for a rapid CPC verification run.</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(five schemes, three seeds), exact SG/FV Jacobian validation, and Stage-12 diagnostics add about five minutes; the Stage-18 inverse, baseline, and strong-charge studies add about 35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underpinning single-molecule sensing and nucleic-acid sequencing prospects [1–6]. In confined nanoscale geometries, ion transport departs from bulk conductance due to surface-charge-governed transport at low salt concentrations [7], electrostatic screening when the Debye length approaches the channel dimension [8], interfacial electrokinetic coupling [9], ion-transport mechanisms specific to nanofluidic channels [10], and structure-dependent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surface-charge patterning [15], and coupled effects of pore diameter, surface-charge density, and ionic strength [16], while the Poisson–Nernst–Planck (PNP) system provides a widely used continuum framework for modeling and numerically solving ion-channel and nanopore transport [17–19].</w:t>
      </w:r>
    </w:p>
    <w:p>
      <w:r>
        <w:t>In narrow channels, electrokinetic flow with overlapped electrical double layers [20], double-layer-enhanced ion migration and water dissociation [21], surface charge regulation [22], and electroosmotic solute dispersion [23] further modify nanoscale transport, while related ion-transport and ion-mobility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surface-charge-governed ion accumulation [13], with electrostatic screening becoming important at low salt concentration [22], while rectification in conical or charge-patterned pores depends jointly on pore-end asymmetry [14] and surface-charge distribution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[28–30] and neural trial-function formulations [31] embed differential equation constraints into the training loss to reduce reliance on labeled solution data, but standard PINNs are typically trained for one parameter set at a time and are sensitive to gradient-flow pathologies and optimization failure modes [32, 33]. Hard-constraint and boundary-enforcing formulations impose initial or boundary conditions strictly across benchmark PDE problems [34], wave equations [35], airflow-field reconstruction [36], linear free-surface waves [37], nonlinear consolidation [38], variational Dirichlet benchmarks [39], and microseismic source imaging [40], while domain-decomposed variants such as XPINNs enable space–time decomposition on complex geometries [41]. Enriched physics-informed neural networks have been developed for dynamic Poisson–Nernst–Planck systems [42], while related physics-informed and operator-learning surrogates have been applied to thermal charring materials [43], compressible flows with CF-DeepONet [44], non-Fourier heat conduction with T-phPINN [45], and lithium-ion battery 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supported by infinite-dimensional approximation error estimates [48], physics-informed DeepONet formulations for parametric PDEs [49], backpropagation-free and layer-interaction training variants [50, 51], theoretical universality analyses for operator learning [52], and architectural comparisons of DeepONet variants [53]. In parallel, Fourier neural operators (FNOs) have been extended to general geometries via XFNO [54] and Gabor-filtered spectral layers [55], as well as decomposed large-scale parametric PDEs with D-FNO [56] and physics-informed Fourier neural operator formulations [57, 58]. Neural Green's operators provide an additional route to parametric PDE solution by learning Green's functions [59], while spatio-spectral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five-way benchmark, including a direct-concentration model retrained with a matched field loss, shows that charge-balanced outputs lower median net-charge error from 0.238 to 0.207 while keeping current error 18% lower; the linear projection is statistically tied on net charge but leaves a finite charge-identity mismatch, whereas the hyperbolic map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identity without a Softplus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1.1</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with 1%-noise CRLBs of 0.37% for radius but 86 for charge. Single- and multi-salt current–voltage protocols leave charge unidentifiable at 1% noise, whereas a blind Stage-20 dual current-plus-selectivity protocol reaches 1.7% median charge error and 0.17% radius error, but with only 68% 95% coverage at 1% noise because a roughly 2% bias floor remains. A strong-charge benchmark lowers current error 23-fold relative to the Ohmic bulk approximation, without claiming that single-salt conductance alone identifies charge.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R</m:t>
                </m:r>
              </m:e>
              <m:sub>
                <m:r>
                  <m:t>g</m:t>
                </m:r>
              </m:sub>
            </m:sSub>
            <m:r>
              <m:t>T</m:t>
            </m:r>
            <m:r>
              <m:rPr>
                <m:sty m:val="p"/>
              </m:rPr>
              <m:t>/</m:t>
            </m:r>
            <m:r>
              <m:rPr>
                <m:sty m:val="p"/>
              </m:rPr>
              <m:t>(</m:t>
            </m:r>
            <m:r>
              <m:t>2</m:t>
            </m:r>
            <m:sSup>
              <m:e>
                <m:r>
                  <m:t>F</m:t>
                </m:r>
              </m:e>
              <m:sup>
                <m:r>
                  <m:t>2</m:t>
                </m:r>
              </m:sup>
            </m:sSup>
            <m:sSub>
              <m:e>
                <m:r>
                  <m:t>C</m:t>
                </m:r>
              </m:e>
              <m:sub>
                <m:r>
                  <m:t>0</m:t>
                </m:r>
              </m:sub>
            </m:sSub>
            <m:r>
              <m:rPr>
                <m:sty m:val="p"/>
              </m:rPr>
              <m:t>)</m:t>
            </m:r>
          </m:e>
        </m:rad>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2</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adapts the node-centered finite-volume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penalty-based boundary enforcement in physics-informed neural networks, which has been compared with hard or exact boundary imposition across benchmark PDEs [34, 39], wave propagation [35, 37], airflow reconstruction [36], nonlinear consolidation [38], and microseismic imaging [40].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To separate a measurement limitation from a surrogate limitation, two inverse experiments are used. The Stage-18 study is a controlled identifiability experiment over 15 held-out interpolation states selected to span the Debye-overlap range. Current–voltage observations are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Protocol 1 (single-salt) uses the state's own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Protocol 3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For each protocol, 20 independent noise realizations at 0.2%, 1%, and 2% relative noise are inverted on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to test discretization nesting. This grid search is operator-only and uses a two-dimensional look-up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w:t>
      </w:r>
    </w:p>
    <w:p>
      <w:r>
        <w:t xml:space="preserve">The Stage-20 study instead removes the truth from every estimator and works in the invertible pair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where </w:t>
      </w:r>
      <m:oMath xmlns:a="http://schemas.openxmlformats.org/drawingml/2006/main" xmlns:pic="http://schemas.openxmlformats.org/drawingml/2006/picture">
        <m:r>
          <m:t>σ</m:t>
        </m:r>
      </m:oMath>
      <w:r>
        <w:t xml:space="preserve"> is the wall charge density in mC m</w:t>
      </w:r>
      <m:oMath xmlns:a="http://schemas.openxmlformats.org/drawingml/2006/main" xmlns:pic="http://schemas.openxmlformats.org/drawingml/2006/picture">
        <m:sSup>
          <m:e>
            <m:r>
              <m:t>​</m:t>
            </m:r>
          </m:e>
          <m:sup>
            <m:r>
              <m:rPr>
                <m:sty m:val="p"/>
              </m:rPr>
              <m:t>−</m:t>
            </m:r>
            <m:r>
              <m:t>2</m:t>
            </m:r>
          </m:sup>
        </m:sSup>
      </m:oMath>
      <w:r>
        <w:t xml:space="preserve">; the charge </w:t>
      </w:r>
      <m:oMath xmlns:a="http://schemas.openxmlformats.org/drawingml/2006/main" xmlns:pic="http://schemas.openxmlformats.org/drawingml/2006/picture">
        <m:sSub>
          <m:e>
            <m:r>
              <m:t>q</m:t>
            </m:r>
          </m:e>
          <m:sub>
            <m:r>
              <m:t>w</m:t>
            </m:r>
          </m:sub>
        </m:sSub>
      </m:oMath>
      <w:r>
        <w:t xml:space="preserve"> is recovered algebraically from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r>
          <m:t>R</m:t>
        </m:r>
      </m:oMath>
      <w:r>
        <w:t xml:space="preserve">.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Each estimator is a Gauss–Newton iteration with a refreshed Jacobian, a step clip of 0.5 in log-parameters, and a matched stopping rule of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boundary hits and non-converged realizations are recorded. Estimator A is surrogate-only, B is warm-started SG/FV, and C is a two-start cold SG/FV baseline. The final covariance is evaluated at the converged estimate and propagated separately to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through </w:t>
      </w:r>
      <m:oMath xmlns:a="http://schemas.openxmlformats.org/drawingml/2006/main" xmlns:pic="http://schemas.openxmlformats.org/drawingml/2006/picture">
        <m:r>
          <m:rPr>
            <m:sty m:val="p"/>
          </m:rPr>
          <m:t>S</m:t>
        </m:r>
        <m:r>
          <m:rPr>
            <m:sty m:val="p"/>
          </m:rPr>
          <m:t>E</m:t>
        </m:r>
        <m:r>
          <m:rPr>
            <m:sty m:val="p"/>
          </m:rPr>
          <m:t>(</m:t>
        </m:r>
        <m:r>
          <m:rPr>
            <m:sty m:val="p"/>
          </m:rPr>
          <m:t>ln</m:t>
        </m:r>
        <m:r>
          <m:t>R</m:t>
        </m:r>
        <m:r>
          <m:rPr>
            <m:sty m:val="p"/>
          </m:rPr>
          <m:t>)</m:t>
        </m:r>
        <m:r>
          <m:rPr>
            <m:sty m:val="p"/>
          </m:rPr>
          <m:t>=</m:t>
        </m:r>
        <m:rad>
          <m:radPr>
            <m:degHide m:val="on"/>
          </m:radPr>
          <m:deg/>
          <m:e>
            <m:sSub>
              <m:e>
                <m:r>
                  <m:t>C</m:t>
                </m:r>
              </m:e>
              <m:sub>
                <m:r>
                  <m:t>00</m:t>
                </m:r>
              </m:sub>
            </m:sSub>
          </m:e>
        </m:rad>
      </m:oMath>
      <w:r>
        <w:t xml:space="preserve">,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r>
          <m:t>σ</m:t>
        </m:r>
        <m:r>
          <m:rPr>
            <m:sty m:val="p"/>
          </m:rPr>
          <m:t>|</m:t>
        </m:r>
        <m:r>
          <m:rPr>
            <m:sty m:val="p"/>
          </m:rPr>
          <m:t>)</m:t>
        </m:r>
        <m:r>
          <m:rPr>
            <m:sty m:val="p"/>
          </m:rPr>
          <m:t>=</m:t>
        </m:r>
        <m:rad>
          <m:radPr>
            <m:degHide m:val="on"/>
          </m:radPr>
          <m:deg/>
          <m:e>
            <m:sSub>
              <m:e>
                <m:r>
                  <m:t>C</m:t>
                </m:r>
              </m:e>
              <m:sub>
                <m:r>
                  <m:t>11</m:t>
                </m:r>
              </m:sub>
            </m:sSub>
          </m:e>
        </m:rad>
      </m:oMath>
      <w:r>
        <w:t xml:space="preserve">, and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sSub>
          <m:e>
            <m:r>
              <m:t>q</m:t>
            </m:r>
          </m:e>
          <m:sub>
            <m:r>
              <m:t>w</m:t>
            </m:r>
          </m:sub>
        </m:sSub>
        <m:r>
          <m:rPr>
            <m:sty m:val="p"/>
          </m:rPr>
          <m:t>|</m:t>
        </m:r>
        <m:r>
          <m:rPr>
            <m:sty m:val="p"/>
          </m:rPr>
          <m:t>)</m:t>
        </m:r>
        <m:r>
          <m:rPr>
            <m:sty m:val="p"/>
          </m:rPr>
          <m:t>=</m:t>
        </m:r>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The Stage-18 grid and the Stage-20 refreshed-Jacobian estimates therefore answer the same physical question with different estimators; we report both and do not pool them.</w:t>
      </w:r>
    </w:p>
    <w:p>
      <w:r>
        <w:t xml:space="preserve">The Fisher analysis uses a </w:t>
      </w:r>
      <m:oMath xmlns:a="http://schemas.openxmlformats.org/drawingml/2006/main" xmlns:pic="http://schemas.openxmlformats.org/drawingml/2006/picture">
        <m:r>
          <m:t>18</m:t>
        </m:r>
        <m:r>
          <m:rPr>
            <m:sty m:val="p"/>
          </m:rPr>
          <m:t>×</m:t>
        </m:r>
        <m:r>
          <m:t>18</m:t>
        </m:r>
      </m:oMath>
      <w:r>
        <w:t xml:space="preserve"> grid over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and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For each point we form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from four non-zero biases, whiten by the 1% relative noise, and evaluate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and the Cramér–Rao lower bounds (CRLBs)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is excluded because it carries no current information. An independent </w:t>
      </w:r>
      <m:oMath xmlns:a="http://schemas.openxmlformats.org/drawingml/2006/main" xmlns:pic="http://schemas.openxmlformats.org/drawingml/2006/picture">
        <m:r>
          <m:t>8</m:t>
        </m:r>
        <m:r>
          <m:rPr>
            <m:sty m:val="p"/>
          </m:rPr>
          <m:t>×</m:t>
        </m:r>
        <m:r>
          <m:t>8</m:t>
        </m:r>
      </m:oMath>
      <w:r>
        <w:t xml:space="preserve"> exact SG/FV check compares the same sensitivities and the single-salt Fisher scale with the operator; a five-state SG/FV-in-the-loop refinement tests the inverse ranking under the exact forward model. Results are reported in Section 3.9 and Supplementary Table S9, and visualized in Figures 3F and 6C,D.</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Structural constraints of the exact-reservoir formulation: the output ansatz enforces reservoir potential and concentration Dirichlet values, strict ion positivity, and the algebraic charge identity exactly, while zero wall ion flux, the wall surface-charge condition, and interior PDE residuals are enforced through the physics loss.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Naive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That large contrast, however, partly reflects an optimization pathology of the naive direct loss. When the direct model is retrained with the same field-normalized loss used for the other schemes, its three-seed net-charge error falls to </w:t>
      </w:r>
      <m:oMath xmlns:a="http://schemas.openxmlformats.org/drawingml/2006/main" xmlns:pic="http://schemas.openxmlformats.org/drawingml/2006/picture">
        <m:r>
          <m:t>0.238</m:t>
        </m:r>
        <m:r>
          <m:rPr>
            <m:sty m:val="p"/>
          </m:rPr>
          <m:t>±</m:t>
        </m:r>
        <m:r>
          <m:t>0.057</m:t>
        </m:r>
      </m:oMath>
      <w:r>
        <w:t xml:space="preserve">, versus </w:t>
      </w:r>
      <m:oMath xmlns:a="http://schemas.openxmlformats.org/drawingml/2006/main" xmlns:pic="http://schemas.openxmlformats.org/drawingml/2006/picture">
        <m:r>
          <m:t>0.207</m:t>
        </m:r>
        <m:r>
          <m:rPr>
            <m:sty m:val="p"/>
          </m:rPr>
          <m:t>±</m:t>
        </m:r>
        <m:r>
          <m:t>0.015</m:t>
        </m:r>
      </m:oMath>
      <w:r>
        <w:t xml:space="preserve"> for the hyperbolic map, and its current error is </w:t>
      </w:r>
      <m:oMath xmlns:a="http://schemas.openxmlformats.org/drawingml/2006/main" xmlns:pic="http://schemas.openxmlformats.org/drawingml/2006/picture">
        <m:r>
          <m:t>0.00514</m:t>
        </m:r>
      </m:oMath>
      <w:r>
        <w:t xml:space="preserve"> versus </w:t>
      </w:r>
      <m:oMath xmlns:a="http://schemas.openxmlformats.org/drawingml/2006/main" xmlns:pic="http://schemas.openxmlformats.org/drawingml/2006/picture">
        <m:r>
          <m:t>0.00417</m:t>
        </m:r>
      </m:oMath>
      <w:r>
        <w:t>; the matched direct model is therefore 15% worse on net charge and 23% worse on current. The four original schemes plus this matched control form the five-way benchmark in Figure 3A,B and Supplementary Table S11. The linear projection is statistically tied with the hyperbolic map on net charge (</w:t>
      </w:r>
      <m:oMath xmlns:a="http://schemas.openxmlformats.org/drawingml/2006/main" xmlns:pic="http://schemas.openxmlformats.org/drawingml/2006/picture">
        <m:r>
          <m:t>0.201</m:t>
        </m:r>
        <m:r>
          <m:rPr>
            <m:sty m:val="p"/>
          </m:rPr>
          <m:t>±</m:t>
        </m:r>
        <m:r>
          <m:t>0.021</m:t>
        </m:r>
      </m:oMath>
      <w:r>
        <w:t>), the soft penalty is worse (</w:t>
      </w:r>
      <m:oMath xmlns:a="http://schemas.openxmlformats.org/drawingml/2006/main" xmlns:pic="http://schemas.openxmlformats.org/drawingml/2006/picture">
        <m:r>
          <m:t>0.411</m:t>
        </m:r>
        <m:r>
          <m:rPr>
            <m:sty m:val="p"/>
          </m:rPr>
          <m:t>±</m:t>
        </m:r>
        <m:r>
          <m:t>0.187</m:t>
        </m:r>
      </m:oMath>
      <w:r>
        <w:t>), and the naive direct model is worst (</w:t>
      </w:r>
      <m:oMath xmlns:a="http://schemas.openxmlformats.org/drawingml/2006/main" xmlns:pic="http://schemas.openxmlformats.org/drawingml/2006/picture">
        <m:r>
          <m:t>0.933</m:t>
        </m:r>
        <m:r>
          <m:rPr>
            <m:sty m:val="p"/>
          </m:rPr>
          <m:t>±</m:t>
        </m:r>
        <m:r>
          <m:t>0.008</m:t>
        </m:r>
      </m:oMath>
      <w:r>
        <w:t xml:space="preserve">). The hyperbolic map is preferred not because it is more accurate than the linear projection, but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projection bias.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five constraint schemes on the identical PI-DeepONet backbone, including a direct-concentration model retrained with the matched field loss;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five schemes; the hyperbolic reconstruction and the direct schemes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Noise-whitened single-salt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negative </w:t>
      </w:r>
      <m:oMath xmlns:a="http://schemas.openxmlformats.org/drawingml/2006/main" xmlns:pic="http://schemas.openxmlformats.org/drawingml/2006/picture">
        <m:sSub>
          <m:e>
            <m:r>
              <m:t>q</m:t>
            </m:r>
          </m:e>
          <m:sub>
            <m:r>
              <m:t>w</m:t>
            </m:r>
          </m:sub>
        </m:sSub>
      </m:oMath>
      <w:r>
        <w:rPr>
          <w:sz w:val="18"/>
        </w:rPr>
        <w:t xml:space="preserve"> and </w:t>
      </w:r>
      <m:oMath xmlns:a="http://schemas.openxmlformats.org/drawingml/2006/main" xmlns:pic="http://schemas.openxmlformats.org/drawingml/2006/picture">
        <m:sSub>
          <m:e>
            <m:r>
              <m:t>C</m:t>
            </m:r>
          </m:e>
          <m:sub>
            <m:r>
              <m:t>0</m:t>
            </m:r>
          </m:sub>
        </m:sSub>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white contours mark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xml:space="preserve">. The charge direction is near-null throughout the plane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rPr>
          <w:sz w:val="18"/>
        </w:rPr>
        <w:t>).</w:t>
      </w:r>
    </w:p>
    <w:p>
      <w:r>
        <w:t>A 300-epoch FNO lowers the interp-test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spans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with </w:t>
      </w:r>
      <m:oMath xmlns:a="http://schemas.openxmlformats.org/drawingml/2006/main" xmlns:pic="http://schemas.openxmlformats.org/drawingml/2006/picture">
        <m:r>
          <m:t>99.1</m:t>
        </m:r>
      </m:oMath>
      <w:r>
        <w:t xml:space="preserve"> of the plane above </w:t>
      </w:r>
      <m:oMath xmlns:a="http://schemas.openxmlformats.org/drawingml/2006/main" xmlns:pic="http://schemas.openxmlformats.org/drawingml/2006/picture">
        <m:sSup>
          <m:e>
            <m:r>
              <m:t>10</m:t>
            </m:r>
          </m:e>
          <m:sup>
            <m:r>
              <m:t>8</m:t>
            </m:r>
          </m:sup>
        </m:sSup>
      </m:oMath>
      <w:r>
        <w:t>; the near-null direction is the charge axis at every operating point.</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inverse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the eight states of the </w:t>
      </w:r>
      <m:oMath xmlns:a="http://schemas.openxmlformats.org/drawingml/2006/main" xmlns:pic="http://schemas.openxmlformats.org/drawingml/2006/picture">
        <m:r>
          <m:t>8</m:t>
        </m:r>
        <m:r>
          <m:rPr>
            <m:sty m:val="p"/>
          </m:rPr>
          <m:t>×</m:t>
        </m:r>
        <m:r>
          <m:t>8</m:t>
        </m:r>
      </m:oMath>
      <w:r>
        <w:rPr>
          <w:sz w:val="18"/>
        </w:rPr>
        <w:t xml:space="preserve"> Fisher plane: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Radius sensitivity agrees to </w:t>
      </w:r>
      <m:oMath xmlns:a="http://schemas.openxmlformats.org/drawingml/2006/main" xmlns:pic="http://schemas.openxmlformats.org/drawingml/2006/picture">
        <m:r>
          <m:t>1.1</m:t>
        </m:r>
        <m:r>
          <m:rPr>
            <m:sty m:val="p"/>
          </m:rPr>
          <m:t>×</m:t>
        </m:r>
        <m:sSup>
          <m:e>
            <m:r>
              <m:t>10</m:t>
            </m:r>
          </m:e>
          <m:sup>
            <m:r>
              <m:rPr>
                <m:sty m:val="p"/>
              </m:rPr>
              <m:t>−</m:t>
            </m:r>
            <m:r>
              <m:t>4</m:t>
            </m:r>
          </m:sup>
        </m:sSup>
      </m:oMath>
      <w:r>
        <w:rPr>
          <w:sz w:val="18"/>
        </w:rPr>
        <w:t xml:space="preserve"> median relative difference, while both charge sensitivities are near zero. (D) Blind Stage-20 inversion at 1% noise using estimator B for the single-salt, reversal-potential, and dual current-plus-selectivity protocols (15 states, 20 realizations each); bars are median relative errors and error bars are half the interquartile range. Single-salt charge remains unidentifiable; the dual protocol reaches 1.7% median charge and 0.17% radius error but only 68% 95% coverage, and the reversal potential is state dependent (263% weak-charge versus 7.3% strong-charge).</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Removing the physics loss increases current error by 54.3% for the DeepONet in-distribution and by 98.9% for the FNO out of distribution (corresponding to 35.2% and 49.7% error reductions when adding the physics term).</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experiment asks what can be inferred from noisy current–voltage data when the observations are generated by the exact SG/FV solver. Across 15 held-out states and 20 noise realizations at 1% noise, single-salt inversion gives a median </w:t>
      </w:r>
      <m:oMath xmlns:a="http://schemas.openxmlformats.org/drawingml/2006/main" xmlns:pic="http://schemas.openxmlformats.org/drawingml/2006/picture">
        <m:sSub>
          <m:e>
            <m:r>
              <m:t>q</m:t>
            </m:r>
          </m:e>
          <m:sub>
            <m:r>
              <m:t>w</m:t>
            </m:r>
          </m:sub>
        </m:sSub>
      </m:oMath>
      <w:r>
        <w:t xml:space="preserve"> relative error of 1.00 (interquartile range 1.95) and a median radius error of 0.357% (IQR 0.662%); the charge error is not below the 10% criterion for any state, while radius meets the 2% criterion for 82% of realizations. The multi-salt protocol does not change this conclusion: the median charge error is 1.06 (IQR 4.96), radius error is 0.262%, and radius coverage is 61%. The dual protocol, which adds the near-wall selectivity </w:t>
      </w:r>
      <m:oMath xmlns:a="http://schemas.openxmlformats.org/drawingml/2006/main" xmlns:pic="http://schemas.openxmlformats.org/drawingml/2006/picture">
        <m:r>
          <m:t>S</m:t>
        </m:r>
      </m:oMath>
      <w:r>
        <w:t>, reduces the median charge error to 4.83% (IQR 11.6%) and the radius error to 0.0999% (IQR 0.125%), with 95% coverage of 70.7% for charge and 96.3% for radius. At 0.2% and 2% noise the dual charge errors are 4.92% and 4.95%, and the radius errors are 0.0185% and 0.217%; the charge error is nearly independent of noise because it is limited by the residual charge–geometry correlation and by the finite candidate grid, not by the noise level. The 70.7% charge coverage is substantial undercoverage that is not explained by the noise level, which changes the charge error little between 0.2% and 2%. The Stage-20 blind residual-controlled inversion reduces the median charge error to 1.7%, but it does not eliminate that bias floor: at 0.2% noise the 95% intervals cover only 4% of realizations, rising to 68% at 1% and 87% at 2%. The dual result should therefore be read as a bias-limited 2% recovery, not a calibrated sub-percent measurement.</w:t>
      </w:r>
    </w:p>
    <w:p>
      <w:r>
        <w:t xml:space="preserve">The </w:t>
      </w:r>
      <m:oMath xmlns:a="http://schemas.openxmlformats.org/drawingml/2006/main" xmlns:pic="http://schemas.openxmlformats.org/drawingml/2006/picture">
        <m:r>
          <m:t>121</m:t>
        </m:r>
        <m:r>
          <m:rPr>
            <m:sty m:val="p"/>
          </m:rPr>
          <m:t>×</m:t>
        </m:r>
        <m:r>
          <m:t>121</m:t>
        </m:r>
      </m:oMath>
      <w:r>
        <w:t xml:space="preserve"> repetition confirms the identifiable protocol: at 1% noise the dual charge and radius estimates change by only 0.40% and 0.91% relative to the </w:t>
      </w:r>
      <m:oMath xmlns:a="http://schemas.openxmlformats.org/drawingml/2006/main" xmlns:pic="http://schemas.openxmlformats.org/drawingml/2006/picture">
        <m:r>
          <m:t>61</m:t>
        </m:r>
        <m:r>
          <m:rPr>
            <m:sty m:val="p"/>
          </m:rPr>
          <m:t>×</m:t>
        </m:r>
        <m:r>
          <m:t>61</m:t>
        </m:r>
      </m:oMath>
      <w:r>
        <w:t xml:space="preserve"> grid. The single- and multi-salt radius estimates change by 21–29% because the flat charge direction leaves a shallow, grid-sensitive radius optimum, although the qualitative ranking is unchanged (Supplementary Table S18). We therefore use the dual protocol for quantitative identifiability claims and the single/multi protocols only for the negative result that charge is not identifiable from conductance alone.</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An SG/FV-in-the-loop refinement tests whether the inverse ranking survives the exact forward model rather than the operator. On five states at 1% noise, with the exact solver used for every candidate and the search initialized from the operator estimate, the median dual charge error is 8.7% and the radius error is 0.45%; single and multi give charge errors of 134% and 119% and radius errors of 0.44% and 0.27%. The exact check is more conservative than the operator inversion, especially for charge, but preserves the conclusion: dual is the only protocol that brings charge below 10% on average, and radius is recovered at the sub-percent level by all protocols. The five-state check is a validation of the ranking, not a blind estimator with an independent initializer (Supplementary Table S18).</w:t>
      </w:r>
    </w:p>
    <w:p>
      <w:r>
        <w:t>The Fisher analysis explains the same result without an inverse crime. The negative-</w:t>
      </w:r>
      <m:oMath xmlns:a="http://schemas.openxmlformats.org/drawingml/2006/main" xmlns:pic="http://schemas.openxmlformats.org/drawingml/2006/picture">
        <m:sSub>
          <m:e>
            <m:r>
              <m:t>q</m:t>
            </m:r>
          </m:e>
          <m:sub>
            <m:r>
              <m:t>w</m:t>
            </m:r>
          </m:sub>
        </m:sSub>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7.8</m:t>
        </m:r>
        <m:r>
          <m:rPr>
            <m:sty m:val="p"/>
          </m:rPr>
          <m:t>×</m:t>
        </m:r>
        <m:sSup>
          <m:e>
            <m:r>
              <m:t>10</m:t>
            </m:r>
          </m:e>
          <m:sup>
            <m:r>
              <m:t>7</m:t>
            </m:r>
          </m:sup>
        </m:sSup>
      </m:oMath>
      <w:r>
        <w:t xml:space="preserve"> and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with </w:t>
      </w:r>
      <m:oMath xmlns:a="http://schemas.openxmlformats.org/drawingml/2006/main" xmlns:pic="http://schemas.openxmlformats.org/drawingml/2006/picture">
        <m:r>
          <m:t>99.1</m:t>
        </m:r>
      </m:oMath>
      <w:r>
        <w:t xml:space="preserve"> of the plane above </w:t>
      </w:r>
      <m:oMath xmlns:a="http://schemas.openxmlformats.org/drawingml/2006/main" xmlns:pic="http://schemas.openxmlformats.org/drawingml/2006/picture">
        <m:sSup>
          <m:e>
            <m:r>
              <m:t>10</m:t>
            </m:r>
          </m:e>
          <m:sup>
            <m:r>
              <m:t>8</m:t>
            </m:r>
          </m:sup>
        </m:sSup>
      </m:oMath>
      <w:r>
        <w:t xml:space="preserve">. At 1% noise the median CRLB is 0.37% for radius but 86 for charge, i.e. the conductance measurement constrains radius and leaves charge essentially free. The exact </w:t>
      </w:r>
      <m:oMath xmlns:a="http://schemas.openxmlformats.org/drawingml/2006/main" xmlns:pic="http://schemas.openxmlformats.org/drawingml/2006/picture">
        <m:r>
          <m:t>8</m:t>
        </m:r>
        <m:r>
          <m:rPr>
            <m:sty m:val="p"/>
          </m:rPr>
          <m:t>×</m:t>
        </m:r>
        <m:r>
          <m:t>8</m:t>
        </m:r>
      </m:oMath>
      <w:r>
        <w:t xml:space="preserve"> SG/FV check agrees on radius: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2.00003 for the solver and 2.00022 for the operator, with a median relative difference of </w:t>
      </w:r>
      <m:oMath xmlns:a="http://schemas.openxmlformats.org/drawingml/2006/main" xmlns:pic="http://schemas.openxmlformats.org/drawingml/2006/picture">
        <m:r>
          <m:t>1.1</m:t>
        </m:r>
        <m:r>
          <m:rPr>
            <m:sty m:val="p"/>
          </m:rPr>
          <m:t>×</m:t>
        </m:r>
        <m:sSup>
          <m:e>
            <m:r>
              <m:t>10</m:t>
            </m:r>
          </m:e>
          <m:sup>
            <m:r>
              <m:rPr>
                <m:sty m:val="p"/>
              </m:rPr>
              <m:t>−</m:t>
            </m:r>
            <m:r>
              <m:t>4</m:t>
            </m:r>
          </m:sup>
        </m:sSup>
      </m:oMath>
      <w:r>
        <w:t>. The charge sensitivity is near-null in both (</w:t>
      </w:r>
      <m:oMath xmlns:a="http://schemas.openxmlformats.org/drawingml/2006/main" xmlns:pic="http://schemas.openxmlformats.org/drawingml/2006/picture">
        <m:r>
          <m:rPr>
            <m:sty m:val="p"/>
          </m:rPr>
          <m:t>−</m:t>
        </m:r>
        <m:r>
          <m:t>1.6</m:t>
        </m:r>
        <m:r>
          <m:rPr>
            <m:sty m:val="p"/>
          </m:rPr>
          <m:t>×</m:t>
        </m:r>
        <m:sSup>
          <m:e>
            <m:r>
              <m:t>10</m:t>
            </m:r>
          </m:e>
          <m:sup>
            <m:r>
              <m:rPr>
                <m:sty m:val="p"/>
              </m:rPr>
              <m:t>−</m:t>
            </m:r>
            <m:r>
              <m:t>5</m:t>
            </m:r>
          </m:sup>
        </m:sSup>
      </m:oMath>
      <w:r>
        <w:t xml:space="preserve"> exact,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operator), so its relative difference is large even though both are negligible. The exact single-salt Fisher matrix is numerically rank-deficient (</w:t>
      </w:r>
      <m:oMath xmlns:a="http://schemas.openxmlformats.org/drawingml/2006/main" xmlns:pic="http://schemas.openxmlformats.org/drawingml/2006/picture">
        <m:r>
          <m:t>κ</m:t>
        </m:r>
        <m:r>
          <m:rPr>
            <m:sty m:val="p"/>
          </m:rPr>
          <m:t>&gt;</m:t>
        </m:r>
        <m:sSup>
          <m:e>
            <m:r>
              <m:t>10</m:t>
            </m:r>
          </m:e>
          <m:sup>
            <m:r>
              <m:t>16</m:t>
            </m:r>
          </m:sup>
        </m:sSup>
      </m:oMath>
      <w:r>
        <w:t xml:space="preserve">) and the operator gives </w:t>
      </w:r>
      <m:oMath xmlns:a="http://schemas.openxmlformats.org/drawingml/2006/main" xmlns:pic="http://schemas.openxmlformats.org/drawingml/2006/picture">
        <m:r>
          <m:t>κ</m:t>
        </m:r>
        <m:r>
          <m:rPr>
            <m:sty m:val="p"/>
          </m:rPr>
          <m:t>≈</m:t>
        </m:r>
        <m:r>
          <m:t>9.8</m:t>
        </m:r>
        <m:r>
          <m:rPr>
            <m:sty m:val="p"/>
          </m:rPr>
          <m:t>×</m:t>
        </m:r>
        <m:sSup>
          <m:e>
            <m:r>
              <m:t>10</m:t>
            </m:r>
          </m:e>
          <m:sup>
            <m:r>
              <m:t>8</m:t>
            </m:r>
          </m:sup>
        </m:sSup>
      </m:oMath>
      <w:r>
        <w:t xml:space="preserve">; both place the charge axis in the null space. The </w:t>
      </w:r>
      <m:oMath xmlns:a="http://schemas.openxmlformats.org/drawingml/2006/main" xmlns:pic="http://schemas.openxmlformats.org/drawingml/2006/picture">
        <m:r>
          <m:t>8</m:t>
        </m:r>
        <m:r>
          <m:rPr>
            <m:sty m:val="p"/>
          </m:rPr>
          <m:t>×</m:t>
        </m:r>
        <m:r>
          <m:t>8</m:t>
        </m:r>
      </m:oMath>
      <w:r>
        <w:t xml:space="preserve"> comparison therefore validates the radius sensitivity and the qualitative charge degeneracy, not the absolute value of the exact condition number, which exceeds float64 resolution (Supplementary Table S19).</w:t>
      </w:r>
    </w:p>
    <w:p>
      <w:r>
        <w:t xml:space="preserve">These results revise the earlier sub-percent dual-recovery claim. That estimate was obtained with operator-generated observations, a </w:t>
      </w:r>
      <m:oMath xmlns:a="http://schemas.openxmlformats.org/drawingml/2006/main" xmlns:pic="http://schemas.openxmlformats.org/drawingml/2006/picture">
        <m:r>
          <m:t>30</m:t>
        </m:r>
        <m:r>
          <m:rPr>
            <m:sty m:val="p"/>
          </m:rPr>
          <m:t>×</m:t>
        </m:r>
        <m:r>
          <m:t>30</m:t>
        </m:r>
      </m:oMath>
      <w:r>
        <w:t xml:space="preserve"> grid, and a small five-state sample; with exact SG/FV observations, 20 noise draws, and a nested </w:t>
      </w:r>
      <m:oMath xmlns:a="http://schemas.openxmlformats.org/drawingml/2006/main" xmlns:pic="http://schemas.openxmlformats.org/drawingml/2006/picture">
        <m:r>
          <m:t>61</m:t>
        </m:r>
        <m:r>
          <m:rPr>
            <m:sty m:val="p"/>
          </m:rPr>
          <m:t>/</m:t>
        </m:r>
        <m:r>
          <m:t>121</m:t>
        </m:r>
      </m:oMath>
      <w:r>
        <w:t xml:space="preserve"> grid, the defensible statement from the Stage-18 candidate-grid estimator is that dual inversion recovers charge to 5–10% and radius to 0.1–0.5%. The Stage-20 estimator is a different algorithm—a blind, refreshed-Jacobian Gauss–Newton in </w:t>
      </w:r>
      <m:oMath xmlns:a="http://schemas.openxmlformats.org/drawingml/2006/main" xmlns:pic="http://schemas.openxmlformats.org/drawingml/2006/picture">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rather than a grid search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—and its band-resolved errors and separate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coverage are reported in Section 3.10 and Supplementary Table S22; the two are not pooled. The physical conclusion is unchanged: a charge-sensitive readout is required, and the operator is a practical tool for choosing it.</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r>
          <m:rPr>
            <m:sty m:val="p"/>
          </m:rPr>
          <m:t>&gt;</m:t>
        </m:r>
        <m:sSup>
          <m:e>
            <m:r>
              <m:t>10</m:t>
            </m:r>
          </m:e>
          <m:sup>
            <m:r>
              <m:t>15</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Warm-started finite-volume solver and reversal-potential identifiability</w:t>
      </w:r>
    </w:p>
    <w:p>
      <w:r>
        <w:t xml:space="preserve">The hybrid solver combines the frozen operator with a conservative SG/FV correction warm-started from the operator; the Weyl singular-value gate serves as a diagnostic for sensitivity analysis rather than controlling execution. This is a residual-based, derivative-informed correction in the sense of [61, 62], not a new learned field representation. On 120 states spanning the weak, transitional, and strong charge bands, the reference-free Pino-Controller reproduces the full SG/FV current to a median relative error of </w:t>
      </w:r>
      <m:oMath xmlns:a="http://schemas.openxmlformats.org/drawingml/2006/main" xmlns:pic="http://schemas.openxmlformats.org/drawingml/2006/picture">
        <m:r>
          <m:t>3.0</m:t>
        </m:r>
        <m:r>
          <m:rPr>
            <m:sty m:val="p"/>
          </m:rPr>
          <m:t>×</m:t>
        </m:r>
        <m:sSup>
          <m:e>
            <m:r>
              <m:t>10</m:t>
            </m:r>
          </m:e>
          <m:sup>
            <m:r>
              <m:rPr>
                <m:sty m:val="p"/>
              </m:rPr>
              <m:t>−</m:t>
            </m:r>
            <m:r>
              <m:t>12</m:t>
            </m:r>
          </m:sup>
        </m:sSup>
      </m:oMath>
      <w:r>
        <w:t xml:space="preserve"> at 0.153 s per state, compared with 0.235 s for a cold full </w:t>
      </w:r>
      <m:oMath xmlns:a="http://schemas.openxmlformats.org/drawingml/2006/main" xmlns:pic="http://schemas.openxmlformats.org/drawingml/2006/picture">
        <m:r>
          <m:t>21</m:t>
        </m:r>
        <m:r>
          <m:rPr>
            <m:sty m:val="p"/>
          </m:rPr>
          <m:t>×</m:t>
        </m:r>
        <m:r>
          <m:t>61</m:t>
        </m:r>
      </m:oMath>
      <w:r>
        <w:t xml:space="preserve"> solve, a 1.54-fold reduction for Task A (forward solve) and 1.19-fold for Task B (reversal-potential root search). A single Gummel step alone gives </w:t>
      </w:r>
      <m:oMath xmlns:a="http://schemas.openxmlformats.org/drawingml/2006/main" xmlns:pic="http://schemas.openxmlformats.org/drawingml/2006/picture">
        <m:r>
          <m:t>1.8</m:t>
        </m:r>
        <m:r>
          <m:rPr>
            <m:sty m:val="p"/>
          </m:rPr>
          <m:t>×</m:t>
        </m:r>
        <m:sSup>
          <m:e>
            <m:r>
              <m:t>10</m:t>
            </m:r>
          </m:e>
          <m:sup>
            <m:r>
              <m:rPr>
                <m:sty m:val="p"/>
              </m:rPr>
              <m:t>−</m:t>
            </m:r>
            <m:r>
              <m:t>4</m:t>
            </m:r>
          </m:sup>
        </m:sSup>
      </m:oMath>
      <w:r>
        <w:t xml:space="preserve"> current error at 0.010 s; the controller's gain comes from the operator warm start plus the conservative correction. Its median reversal-potential error is 0.038 mV, inherited from the reversal surrogate rather than from the field correction. The eight-method comparison also shows that the linearized Poisson–Boltzmann model is a strong current baseline in this box (median relative error </w:t>
      </w:r>
      <m:oMath xmlns:a="http://schemas.openxmlformats.org/drawingml/2006/main" xmlns:pic="http://schemas.openxmlformats.org/drawingml/2006/picture">
        <m:r>
          <m:t>3.2</m:t>
        </m:r>
        <m:r>
          <m:rPr>
            <m:sty m:val="p"/>
          </m:rPr>
          <m:t>×</m:t>
        </m:r>
        <m:sSup>
          <m:e>
            <m:r>
              <m:t>10</m:t>
            </m:r>
          </m:e>
          <m:sup>
            <m:r>
              <m:rPr>
                <m:sty m:val="p"/>
              </m:rPr>
              <m:t>−</m:t>
            </m:r>
            <m:r>
              <m:t>6</m:t>
            </m:r>
          </m:sup>
        </m:sSup>
      </m:oMath>
      <w:r>
        <w:t>) but not a charge model, and that POD–RBF degrades in the strong-charge band.</w:t>
      </w:r>
    </w:p>
    <w:p>
      <w:r>
        <w:t xml:space="preserve">The Stage-20 blind inverse study removes the truth from every estimator. It uses 15 held-out states, three protocols, three noise levels, and 20 realizations, for 2,700 inversions;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Estimator A is surrogate-only with local quadratic refinement, B is a residual-controlled SG/FV Gauss–Newton polish, and C is a two-start cold SG/FV baseline. At 1% noise, single-salt inversion remains unidentifiable (median </w:t>
      </w:r>
      <m:oMath xmlns:a="http://schemas.openxmlformats.org/drawingml/2006/main" xmlns:pic="http://schemas.openxmlformats.org/drawingml/2006/picture">
        <m:sSub>
          <m:e>
            <m:r>
              <m:t>q</m:t>
            </m:r>
          </m:e>
          <m:sub>
            <m:r>
              <m:t>w</m:t>
            </m:r>
          </m:sub>
        </m:sSub>
      </m:oMath>
      <w:r>
        <w:t xml:space="preserve"> error 140%), while the reversal potential is strongly state dependent: its median error is 263% in the weak-charge band but 7.3% in the strong-charge band, where Donnan exclusion is large. The dual current-plus-selectivity protocol is the most stable, with median charge errors of 1.38%, 1.40%, and 2.41% in the weak, transitional, and strong bands (1.72% overall) and radius errors of 0.17%. Its 95% charge coverage is 68% at 1% noise, and only 4% at 0.2% noise, because a remaining roughly 2% bias floor dominates the shrinking statistical interval; coverage rises to 87% at 2% noise. The corresponding reversal-potential coverage is 56% at 1% noise. We therefore report the dual protocol as a bias-limited 2% recovery, the strong-exclusion reversal potential as a state-dependent 7% recovery, and do not claim calibrated sub-percent charge identification.</w:t>
      </w:r>
    </w:p>
    <w:p>
      <w:pPr>
        <w:pStyle w:val="Heading3"/>
      </w:pPr>
      <w:r>
        <w:t>3.11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3"/>
      </w:pPr>
      <w:r>
        <w:t>3.12 Interpreted baselines and strong-charge behavior</w:t>
      </w:r>
    </w:p>
    <w:p>
      <w:r>
        <w:t>To place the operator against simpler alternatives, we evaluated two interpreted models on the same 96 test states (Supplementary Table S21). The Ohmic bulk model uses the bulk conductivity and the geometric cross-section; the linearized radial Poisson–Boltzmann (PB) model uses a calibrated Debye-layer charge profile and no per-state fitting. A 30-mode POD–RBF interpolator and the FNO provide data-driven reference points. On the interpolation split the DeepONet has the lowest potential error (0.000891 versus 0.000969 for PB) and a net-charge error of 0.0825, essentially tied with PB (0.0939) and FNO (0.0931) and far below POD–RBF (0.433). The PB model is much better for current (8.2</w:t>
      </w:r>
      <m:oMath xmlns:a="http://schemas.openxmlformats.org/drawingml/2006/main" xmlns:pic="http://schemas.openxmlformats.org/drawingml/2006/picture">
        <m:r>
          <m:rPr>
            <m:sty m:val="p"/>
          </m:rPr>
          <m:t>×</m:t>
        </m:r>
        <m:sSup>
          <m:e>
            <m:r>
              <m:t>10</m:t>
            </m:r>
          </m:e>
          <m:sup>
            <m:r>
              <m:rPr>
                <m:sty m:val="p"/>
              </m:rPr>
              <m:t>−</m:t>
            </m:r>
            <m:r>
              <m:t>6</m:t>
            </m:r>
          </m:sup>
        </m:sSup>
      </m:oMath>
      <w:r>
        <w:t xml:space="preserve"> versus 0.00109) because its linearized profile is calibrated to the low-charge current, but it does not satisfy the nonlinear PNP equations or the charge identity and cannot represent the strong-charge regime. Out of distribution the FNO is better than the DeepONet on net charge (0.224 versus 0.368) and PB is better on both net charge (0.113) and current (0.000529), while the DeepONet retains a potential error (0.0202) comparable to PB (0.0203) and lower than POD–RBF (0.0463). The comparison therefore does not support a claim that the operator dominates every interpreted baseline; it supports the narrower claim that the operator is competitive on potential and superior on strong-charge fields and selectivity, which is the regime where a physics-constrained operator is needed.</w:t>
      </w:r>
    </w:p>
    <w:p>
      <w:r>
        <w:t xml:space="preserve">The strong-charge test makes that regime explicit. We generated 120 states at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and </w:t>
      </w:r>
      <m:oMath xmlns:a="http://schemas.openxmlformats.org/drawingml/2006/main" xmlns:pic="http://schemas.openxmlformats.org/drawingml/2006/picture">
        <m:r>
          <m:t>R</m:t>
        </m:r>
        <m:r>
          <m:rPr>
            <m:sty m:val="p"/>
          </m:rPr>
          <m:t>=</m:t>
        </m:r>
        <m:r>
          <m:t>2.5</m:t>
        </m:r>
      </m:oMath>
      <w:r>
        <w:t xml:space="preserve">–5 nm, split 96/24, and trained three DeepONets for 600 epochs. On the 24 test states the median current error is 0.00259 (seeds 42–44: 0.00259, 0.00120, 0.00302), compared with 0.0591 for the Ohmic bulk approximation, a 22.8-fold reduction; the Ohmic model has a net-charge error of 1.0 because it predicts no wall layer. The operator's median relative </w:t>
      </w:r>
      <m:oMath xmlns:a="http://schemas.openxmlformats.org/drawingml/2006/main" xmlns:pic="http://schemas.openxmlformats.org/drawingml/2006/picture">
        <m:sSub>
          <m:e>
            <m:r>
              <m:t>L</m:t>
            </m:r>
          </m:e>
          <m:sub>
            <m:r>
              <m:t>2</m:t>
            </m:r>
          </m:sub>
        </m:sSub>
      </m:oMath>
      <w:r>
        <w:t xml:space="preserve"> errors are 0.045–0.049 for net charge, 0.025–0.028 for potential, and 0.054–0.058 for the near-wall selectivity </w:t>
      </w:r>
      <m:oMath xmlns:a="http://schemas.openxmlformats.org/drawingml/2006/main" xmlns:pic="http://schemas.openxmlformats.org/drawingml/2006/picture">
        <m:r>
          <m:t>S</m:t>
        </m:r>
      </m:oMath>
      <w:r>
        <w:t xml:space="preserve"> (absolute </w:t>
      </w:r>
      <m:oMath xmlns:a="http://schemas.openxmlformats.org/drawingml/2006/main" xmlns:pic="http://schemas.openxmlformats.org/drawingml/2006/picture">
        <m:r>
          <m:t>S</m:t>
        </m:r>
      </m:oMath>
      <w:r>
        <w:t xml:space="preserve"> error 0.021–0.022). Strong surface charge therefore makes the charge-sensitive field large and accurately predictable, which is the signal a dual readout exploits; it does not by itself make single-salt conductance identify charge, and we do not claim that it does.</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 xml:space="preserve">The charge-balanced parameterization is the most transferable result, but the matched-loss control changes its quantitative interpretation. Relative to a naive direct-concentration loss the improvement is 8.63-fold for the DeepONet and 10.29-fold for the FNO, yet much of that gap is an optimization pathology: with the same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and its current error is 23% higher. The robust claim is therefore a 13–15% net-charge and 18–23% current advantage over a fairly trained direct model, plus an exact positivity and charge-identity guarantee. The underlying mechanism remains general: whenever a physical quantity is a small difference of two large positive fields, direct regression suffers from cancellation, and a reparameterization in terms of the sum and the difference reduces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in-distribution and by 49.7% for the FNO out of distribution. Because current is the quantity that experiments measure, this is the relevant metric, and it justifies retaining the residual term even when labeled data are available.</w:t>
      </w:r>
    </w:p>
    <w:p>
      <w:r>
        <w:t>The inverse experiment sharpens the scope of the method. With exact SG/FV-generated observations, 20 noise draws, and a nested grid, the Stage-20 blind dual current–plus–selectivity inversion reaches 1.7% median charge error and 0.17% radius error at 1% noise, but only 68% 95% coverage; single- and multi-salt conductance leave charge at 140% median error and do not meet the 10% criterion for any state. The residual roughly 2% bias floor, not noise, limits the dual interval calibration; this is a separate surrogate limitation from the physical conductance-only degeneracy, which follows from the near-invariance of the concentration sum for a symmetric electrolyte with nearly equal diffusivities, and the Fisher analysis shows it holds across the negative-</w:t>
      </w:r>
      <m:oMath xmlns:a="http://schemas.openxmlformats.org/drawingml/2006/main" xmlns:pic="http://schemas.openxmlformats.org/drawingml/2006/picture">
        <m:sSub>
          <m:e>
            <m:r>
              <m:t>q</m:t>
            </m:r>
          </m:e>
          <m:sub>
            <m:r>
              <m:t>w</m:t>
            </m:r>
          </m:sub>
        </m:sSub>
      </m:oMath>
      <w:r>
        <w:t xml:space="preserve"> plane, with a near-null charge direction and condition numbers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The median 1%-noise CRLB is 0.37% for radius but 86 for charge. The dual study narrows the remedy: multi-salt current–voltage data do not remove the degeneracy, whereas an independent near-wall selectivity observable brings the median charge error to about 2% while leaving a bias-limited coverage gap.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Stage-19/20 hybrid and reversal study sharpens the same boundary. The reference-free warm-started controller reproduces the full SG/FV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median relative error at 0.153 s per state, 1.54-fold below the 0.235 s cold solve for Task A (forward solve) and 1.19-fold for Task B (reversal-potential root search), so it is a practical inner loop for protocol design. The unequal-reservoir reversal potential is strongly state dependent. It is weak at low charge and high salinity, where the concentration-cell potential carries little wall-charge signature, but it reaches </w:t>
      </w:r>
      <m:oMath xmlns:a="http://schemas.openxmlformats.org/drawingml/2006/main" xmlns:pic="http://schemas.openxmlformats.org/drawingml/2006/picture">
        <m:r>
          <m:rPr>
            <m:sty m:val="p"/>
          </m:rPr>
          <m:t>−</m:t>
        </m:r>
        <m:r>
          <m:t>5.67</m:t>
        </m:r>
      </m:oMath>
      <w:r>
        <w:t xml:space="preserve"> mV at </w:t>
      </w:r>
      <m:oMath xmlns:a="http://schemas.openxmlformats.org/drawingml/2006/main" xmlns:pic="http://schemas.openxmlformats.org/drawingml/2006/picture">
        <m:sSub>
          <m:e>
            <m:r>
              <m:t>q</m:t>
            </m:r>
          </m:e>
          <m:sub>
            <m:r>
              <m:t>w</m:t>
            </m:r>
          </m:sub>
        </m:sSub>
        <m:r>
          <m:rPr>
            <m:sty m:val="p"/>
          </m:rPr>
          <m:t>=</m:t>
        </m:r>
        <m:r>
          <m:rPr>
            <m:sty m:val="p"/>
          </m:rPr>
          <m:t>−</m:t>
        </m:r>
        <m:r>
          <m:t>1</m:t>
        </m:r>
      </m:oMath>
      <w:r>
        <w:t xml:space="preserve">,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t>R</m:t>
        </m:r>
        <m:r>
          <m:rPr>
            <m:sty m:val="p"/>
          </m:rPr>
          <m:t>=</m:t>
        </m:r>
        <m:r>
          <m:t>5</m:t>
        </m:r>
      </m:oMath>
      <w:r>
        <w:t xml:space="preserve"> nm even with equal diffusivities because Donnan exclusion is strong. A reversal-potential readout should therefore be designed for the strong-exclusion regime and combined with a genuinely charge-sensitive observable, rather than dismissed as uniformly weak or substituted for one.</w:t>
      </w:r>
    </w:p>
    <w:p>
      <w:r>
        <w:t>The selectivity observable that breaks the degeneracy is not a purely theoretical construct. In a symmetric binary electrolyte the near-wall selectivity reflects the counter-ion/co-ion imbalance in the electrical double layer [7, 8]. In electrokinetic nanochannel theory, this imbalance is probed experimentally via concentration-cell potential or streaming-potential measurements [10].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 potential and 0.00109 current relative </w:t>
      </w:r>
      <m:oMath xmlns:a="http://schemas.openxmlformats.org/drawingml/2006/main" xmlns:pic="http://schemas.openxmlformats.org/drawingml/2006/picture">
        <m:sSub>
          <m:e>
            <m:r>
              <m:t>L</m:t>
            </m:r>
          </m:e>
          <m:sub>
            <m:r>
              <m:t>2</m:t>
            </m:r>
          </m:sub>
        </m:sSub>
      </m:oMath>
      <w:r>
        <w:t xml:space="preserve"> error on held-out in-distribution states, retains 0.00136 current error out of distribution, and runs in 0.072 ms per state after ONNX export. In a five-way constrained comparison, charge-balanced outputs reduce median net-charge error from 0.238 for a matched direct-concentration loss to 0.207 while keeping current error 18% lower; the linear projection is statistically tied on net charge but leaves a finite charge-identity mismatch. Removing the physics loss increases current error by 54.3% for the DeepONet in-distribution and by 98.9% for the FNO out of distribution (corresponding to 35.2% and 49.7% error reductions when adding the physics term). A reference-free warm-started SG/FV controller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0.153 s per state, 1.54-fold below a full solve for Task A (forward solve) and 1.19-fold for Task B (reversal-potential root search). A 2,700-realization blind inverse study gives a dual current-plus-selectivity median charge error of 1.7% but only 68% 95% coverage at 1% noise; the reversal potential is state dependent (263% weak-charge, 7.3% strong-charge), so we report a bias-limited 2% recovery rather than calibrated sub-percent identification.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Interpreted baselines qualify the accuracy claims: a calibrated linearized Poisson–Boltzmann model is stronger on current and OOD net charge, while the operator is competitive on potential and stronger on strong-charge fields and selectivity. The central physical result is a limit, not a speed-up: for symmetric binary electrolytes with nearly equal ionic diffusivities, such as KCl, and a conductance-only protocol, fixed wall charge is practically unidentifiable from symmetric-electrolyte conductance alone within the tested weak-to-moderate surface-charge regime and 0.2%–2% measurement noise protocols, as confirmed by the negative-</w:t>
      </w:r>
      <m:oMath xmlns:a="http://schemas.openxmlformats.org/drawingml/2006/main" xmlns:pic="http://schemas.openxmlformats.org/drawingml/2006/picture">
        <m:sSub>
          <m:e>
            <m:r>
              <m:t>q</m:t>
            </m:r>
          </m:e>
          <m:sub>
            <m:r>
              <m:t>w</m:t>
            </m:r>
          </m:sub>
        </m:sSub>
      </m:oMath>
      <w:r>
        <w:t xml:space="preserve"> Fisher plane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1%-noise CRLB 0.37% for radius but 86 for charge). Single- and multi-salt current–voltage sweeps do not remove this degeneracy. A dual current-plus-near-wall-selectivity protocol reaches 1.7% median charge error and 0.17% radius error in the blind Stage-20 study, but its 95% charge coverage is only 68% at 1% noise because a roughly 2% bias floor dominates the statistical interval. Strong surface charge lowers current error 23-fold relative to the Ohmic bulk approximation and makes the selectivity field accurately predictable, but it does not by itself make single-salt conductance identify charge.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self-contained verification case.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p>
      <w:pPr>
        <w:spacing w:after="60"/>
        <w:ind w:left="605" w:hanging="605"/>
      </w:pPr>
      <w:r>
        <w:t xml:space="preserve">[61] Thomas O’Leary-Roseberry, Umberto Villa, Peng Chen, Omar Ghattas (2022). Derivative-informed projected neural networks for high-dimensional parametric maps governed by PDEs </w:t>
      </w:r>
      <w:r>
        <w:rPr>
          <w:i/>
        </w:rPr>
        <w:t>Computer Methods in Applied Mechanics and Engineering</w:t>
      </w:r>
      <w:r>
        <w:t>. doi:10.1016/j.cma.2021.114199</w:t>
      </w:r>
    </w:p>
    <w:p>
      <w:pPr>
        <w:spacing w:after="60"/>
        <w:ind w:left="605" w:hanging="605"/>
      </w:pPr>
      <w:r>
        <w:t xml:space="preserve">[62] Lianghao Cao, Thomas O’Leary-Roseberry, Prashant K. Jha, J. Tinsley Oden, Omar Ghattas (2023). Residual-based error correction for neural operator accelerated infinite-dimensional Bayesian inverse problems </w:t>
      </w:r>
      <w:r>
        <w:rPr>
          <w:i/>
        </w:rPr>
        <w:t>Journal of Computational Physics</w:t>
      </w:r>
      <w:r>
        <w:t xml:space="preserve"> 486, 112104. doi:10.1016/j.jcp.2023.112104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