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Charge-balanced neural operators, conductance identifiability limits, and warm-started finite-volume solvers for nanopore ion transport</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Operator-warm-started SG/FV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results/stage19_hybrid_controller.json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Operator-warm-started SG/FV solver and blind unequal-reservoir reversal-potential benchmark. (A) Median current and reversal-potential errors with median wall time for eight methods on 120 states (40 weak, 40 transitional, 40 strong). The Pino-Controller warm-starts the conservative SG/FV solve from the operator and is reference-free; full SG/FV is the reference. (B) Blind Stage-20 inversion with shared noisy observations, 15 states, and 20 realizations per protocol and noise level; B is the residual-controlled SG/FV Gauss–Newton estimator. Errors are medians over all states and over the weak, transitional, and strong charge bands; coverage is the fraction of 95% intervals containing the truth for the dimensionless wall charge </w:t>
      </w:r>
      <m:oMath xmlns:a="http://schemas.openxmlformats.org/drawingml/2006/main" xmlns:pic="http://schemas.openxmlformats.org/drawingml/2006/picture">
        <m:sSub>
          <m:e>
            <m:r>
              <m:t>q</m:t>
            </m:r>
          </m:e>
          <m:sub>
            <m:r>
              <m:t>w</m:t>
            </m:r>
          </m:sub>
        </m:sSub>
        <m:r>
          <m:rPr>
            <m:sty m:val="p"/>
          </m:rPr>
          <m:t>∝</m:t>
        </m:r>
        <m:r>
          <m:t>R</m:t>
        </m:r>
        <m:r>
          <m:t>σ</m:t>
        </m:r>
      </m:oMath>
      <w:r>
        <w:t xml:space="preserve">, reported for all states and by charge band. The dual protocol reaches 1.7% median charge error at 1% noise but its intervals are undercovered (68% for </w:t>
      </w:r>
      <m:oMath xmlns:a="http://schemas.openxmlformats.org/drawingml/2006/main" xmlns:pic="http://schemas.openxmlformats.org/drawingml/2006/picture">
        <m:sSub>
          <m:e>
            <m:r>
              <m:t>q</m:t>
            </m:r>
          </m:e>
          <m:sub>
            <m:r>
              <m:t>w</m:t>
            </m:r>
          </m:sub>
        </m:sSub>
      </m:oMath>
      <w:r>
        <w:t>), while the reversal potential is strongly state dependent (263% weak-charge versus 7.3% strong-charge). Single-salt conductance remains unidentifiable.</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time (s)</w:t>
            </w:r>
          </w:p>
        </w:tc>
      </w:tr>
      <w:tr>
        <w:trPr>
          <w:cantSplit w:val="true"/>
        </w:trPr>
        <w:tc>
          <w:tcPr>
            <w:tcW w:type="dxa" w:w="2340"/>
          </w:tcPr>
          <w:p>
            <w:r>
              <w:rPr>
                <w:sz w:val="17"/>
              </w:rPr>
              <w:t>Ohmic bulk</w:t>
            </w:r>
          </w:p>
        </w:tc>
        <w:tc>
          <w:tcPr>
            <w:tcW w:type="dxa" w:w="234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2340"/>
          </w:tcPr>
          <w:p>
            <w:r>
              <w:rPr>
                <w:sz w:val="17"/>
              </w:rPr>
              <w:t>0.03907</w:t>
            </w:r>
          </w:p>
        </w:tc>
        <w:tc>
          <w:tcPr>
            <w:tcW w:type="dxa" w:w="234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2340"/>
          </w:tcPr>
          <w:p>
            <w:r>
              <w:rPr>
                <w:sz w:val="17"/>
              </w:rPr>
              <w:t>Linearized PB</w:t>
            </w:r>
          </w:p>
        </w:tc>
        <w:tc>
          <w:tcPr>
            <w:tcW w:type="dxa" w:w="234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2340"/>
          </w:tcPr>
          <w:p>
            <w:r>
              <w:rPr>
                <w:sz w:val="17"/>
              </w:rPr>
              <w:t>0.03907</w:t>
            </w:r>
          </w:p>
        </w:tc>
        <w:tc>
          <w:tcPr>
            <w:tcW w:type="dxa" w:w="234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2340"/>
          </w:tcPr>
          <w:p>
            <w:r>
              <w:rPr>
                <w:sz w:val="17"/>
              </w:rPr>
              <w:t>POD–RBF</w:t>
            </w:r>
          </w:p>
        </w:tc>
        <w:tc>
          <w:tcPr>
            <w:tcW w:type="dxa" w:w="234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2340"/>
          </w:tcPr>
          <w:p>
            <w:r>
              <w:rPr>
                <w:sz w:val="17"/>
              </w:rPr>
              <w:t>0.03907</w:t>
            </w:r>
          </w:p>
        </w:tc>
        <w:tc>
          <w:tcPr>
            <w:tcW w:type="dxa" w:w="234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2340"/>
          </w:tcPr>
          <w:p>
            <w:r>
              <w:rPr>
                <w:sz w:val="17"/>
              </w:rPr>
              <w:t>PI-DeepONet</w:t>
            </w:r>
          </w:p>
        </w:tc>
        <w:tc>
          <w:tcPr>
            <w:tcW w:type="dxa" w:w="234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2340"/>
          </w:tcPr>
          <w:p>
            <w:r>
              <w:rPr>
                <w:sz w:val="17"/>
              </w:rPr>
              <w:t>0.03838</w:t>
            </w:r>
          </w:p>
        </w:tc>
        <w:tc>
          <w:tcPr>
            <w:tcW w:type="dxa" w:w="2340"/>
          </w:tcPr>
          <w:p>
            <m:oMath xmlns:a="http://schemas.openxmlformats.org/drawingml/2006/main" xmlns:pic="http://schemas.openxmlformats.org/drawingml/2006/picture">
              <m:r>
                <m:t>1.42</m:t>
              </m:r>
              <m:r>
                <m:rPr>
                  <m:sty m:val="p"/>
                </m:rPr>
                <m:t>×</m:t>
              </m:r>
              <m:sSup>
                <m:e>
                  <m:r>
                    <m:t>10</m:t>
                  </m:r>
                </m:e>
                <m:sup>
                  <m:r>
                    <m:rPr>
                      <m:sty m:val="p"/>
                    </m:rPr>
                    <m:t>−</m:t>
                  </m:r>
                  <m:r>
                    <m:t>4</m:t>
                  </m:r>
                </m:sup>
              </m:sSup>
            </m:oMath>
          </w:p>
        </w:tc>
      </w:tr>
      <w:tr>
        <w:trPr>
          <w:cantSplit w:val="true"/>
        </w:trPr>
        <w:tc>
          <w:tcPr>
            <w:tcW w:type="dxa" w:w="2340"/>
          </w:tcPr>
          <w:p>
            <w:r>
              <w:rPr>
                <w:sz w:val="17"/>
              </w:rPr>
              <w:t>Ridge-calibrated operator baseline</w:t>
            </w:r>
          </w:p>
        </w:tc>
        <w:tc>
          <w:tcPr>
            <w:tcW w:type="dxa" w:w="234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2340"/>
          </w:tcPr>
          <w:p>
            <w:r>
              <w:rPr>
                <w:sz w:val="17"/>
              </w:rPr>
              <w:t>0.1384</w:t>
            </w:r>
          </w:p>
        </w:tc>
        <w:tc>
          <w:tcPr>
            <w:tcW w:type="dxa" w:w="234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2340"/>
          </w:tcPr>
          <w:p>
            <w:r>
              <w:rPr>
                <w:sz w:val="17"/>
              </w:rPr>
              <w:t>One-step Gummel</w:t>
            </w:r>
          </w:p>
        </w:tc>
        <w:tc>
          <w:tcPr>
            <w:tcW w:type="dxa" w:w="234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2340"/>
          </w:tcPr>
          <w:p>
            <w:r>
              <w:rPr>
                <w:sz w:val="17"/>
              </w:rPr>
              <w:t>0.03838</w:t>
            </w:r>
          </w:p>
        </w:tc>
        <w:tc>
          <w:tcPr>
            <w:tcW w:type="dxa" w:w="2340"/>
          </w:tcPr>
          <w:p>
            <m:oMath xmlns:a="http://schemas.openxmlformats.org/drawingml/2006/main" xmlns:pic="http://schemas.openxmlformats.org/drawingml/2006/picture">
              <m:r>
                <m:t>7.36</m:t>
              </m:r>
              <m:r>
                <m:rPr>
                  <m:sty m:val="p"/>
                </m:rPr>
                <m:t>×</m:t>
              </m:r>
              <m:sSup>
                <m:e>
                  <m:r>
                    <m:t>10</m:t>
                  </m:r>
                </m:e>
                <m:sup>
                  <m:r>
                    <m:rPr>
                      <m:sty m:val="p"/>
                    </m:rPr>
                    <m:t>−</m:t>
                  </m:r>
                  <m:r>
                    <m:t>3</m:t>
                  </m:r>
                </m:sup>
              </m:sSup>
            </m:oMath>
          </w:p>
        </w:tc>
      </w:tr>
      <w:tr>
        <w:trPr>
          <w:cantSplit w:val="true"/>
        </w:trPr>
        <w:tc>
          <w:tcPr>
            <w:tcW w:type="dxa" w:w="2340"/>
          </w:tcPr>
          <w:p>
            <w:r>
              <w:rPr>
                <w:sz w:val="17"/>
              </w:rPr>
              <w:t>Full SG/FV</w:t>
            </w:r>
          </w:p>
        </w:tc>
        <w:tc>
          <w:tcPr>
            <w:tcW w:type="dxa" w:w="2340"/>
          </w:tcPr>
          <w:p>
            <w:r>
              <w:rPr>
                <w:sz w:val="17"/>
              </w:rPr>
              <w:t>0</w:t>
            </w:r>
          </w:p>
        </w:tc>
        <w:tc>
          <w:tcPr>
            <w:tcW w:type="dxa" w:w="2340"/>
          </w:tcPr>
          <w:p>
            <w:r>
              <w:rPr>
                <w:sz w:val="17"/>
              </w:rPr>
              <w:t>0</w:t>
            </w:r>
          </w:p>
        </w:tc>
        <w:tc>
          <w:tcPr>
            <w:tcW w:type="dxa" w:w="2340"/>
          </w:tcPr>
          <w:p>
            <w:r>
              <w:rPr>
                <w:sz w:val="17"/>
              </w:rPr>
              <w:t>0.235</w:t>
            </w:r>
          </w:p>
        </w:tc>
      </w:tr>
      <w:tr>
        <w:trPr>
          <w:cantSplit w:val="true"/>
        </w:trPr>
        <w:tc>
          <w:tcPr>
            <w:tcW w:type="dxa" w:w="2340"/>
          </w:tcPr>
          <w:p>
            <w:r>
              <w:rPr>
                <w:sz w:val="17"/>
              </w:rPr>
              <w:t>Pino-Controller (warm SG/FV)</w:t>
            </w:r>
          </w:p>
        </w:tc>
        <w:tc>
          <w:tcPr>
            <w:tcW w:type="dxa" w:w="2340"/>
          </w:tcPr>
          <w:p>
            <m:oMath xmlns:a="http://schemas.openxmlformats.org/drawingml/2006/main" xmlns:pic="http://schemas.openxmlformats.org/drawingml/2006/picture">
              <m:r>
                <m:t>3.03</m:t>
              </m:r>
              <m:r>
                <m:rPr>
                  <m:sty m:val="p"/>
                </m:rPr>
                <m:t>×</m:t>
              </m:r>
              <m:sSup>
                <m:e>
                  <m:r>
                    <m:t>10</m:t>
                  </m:r>
                </m:e>
                <m:sup>
                  <m:r>
                    <m:rPr>
                      <m:sty m:val="p"/>
                    </m:rPr>
                    <m:t>−</m:t>
                  </m:r>
                  <m:r>
                    <m:t>12</m:t>
                  </m:r>
                </m:sup>
              </m:sSup>
            </m:oMath>
          </w:p>
        </w:tc>
        <w:tc>
          <w:tcPr>
            <w:tcW w:type="dxa" w:w="2340"/>
          </w:tcPr>
          <w:p>
            <w:r>
              <w:rPr>
                <w:sz w:val="17"/>
              </w:rPr>
              <w:t>0.03838</w:t>
            </w:r>
          </w:p>
        </w:tc>
        <w:tc>
          <w:tcPr>
            <w:tcW w:type="dxa" w:w="2340"/>
          </w:tcPr>
          <w:p>
            <m:oMath xmlns:a="http://schemas.openxmlformats.org/drawingml/2006/main" xmlns:pic="http://schemas.openxmlformats.org/drawingml/2006/picture">
              <m:r>
                <m:t>1.53</m:t>
              </m:r>
              <m:r>
                <m:rPr>
                  <m:sty m:val="p"/>
                </m:rPr>
                <m:t>×</m:t>
              </m:r>
              <m:sSup>
                <m:e>
                  <m:r>
                    <m:t>10</m:t>
                  </m:r>
                </m:e>
                <m:sup>
                  <m:r>
                    <m:rPr>
                      <m:sty m:val="p"/>
                    </m:rPr>
                    <m:t>−</m:t>
                  </m:r>
                  <m:r>
                    <m:t>1</m:t>
                  </m:r>
                </m:sup>
              </m:sSup>
            </m:oMath>
          </w:p>
        </w:tc>
      </w:tr>
    </w:tbl>
    <w:p>
      <w:pPr>
        <w:spacing w:after="120"/>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val="true"/>
          <w:cantSplit w:val="true"/>
        </w:trPr>
        <w:tc>
          <w:tcPr>
            <w:tcW w:type="dxa" w:w="851"/>
          </w:tcPr>
          <w:p>
            <w:r>
              <w:rPr>
                <w:b/>
                <w:sz w:val="17"/>
              </w:rPr>
              <w:t>Protocol</w:t>
            </w:r>
          </w:p>
        </w:tc>
        <w:tc>
          <w:tcPr>
            <w:tcW w:type="dxa" w:w="851"/>
          </w:tcPr>
          <w:p>
            <w:r>
              <w:rPr>
                <w:b/>
                <w:sz w:val="17"/>
              </w:rPr>
              <w:t>Noise</w:t>
            </w:r>
          </w:p>
        </w:tc>
        <w:tc>
          <w:tcPr>
            <w:tcW w:type="dxa" w:w="851"/>
          </w:tcPr>
          <w:p>
            <m:oMath xmlns:a="http://schemas.openxmlformats.org/drawingml/2006/main" xmlns:pic="http://schemas.openxmlformats.org/drawingml/2006/picture">
              <m:sSub>
                <m:e>
                  <m:r>
                    <m:t>q</m:t>
                  </m:r>
                </m:e>
                <m:sub>
                  <m:r>
                    <m:t>w</m:t>
                  </m:r>
                </m:sub>
              </m:sSub>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weak</w:t>
            </w:r>
          </w:p>
        </w:tc>
        <w:tc>
          <w:tcPr>
            <w:tcW w:type="dxa" w:w="851"/>
          </w:tcPr>
          <w:p>
            <m:oMath xmlns:a="http://schemas.openxmlformats.org/drawingml/2006/main" xmlns:pic="http://schemas.openxmlformats.org/drawingml/2006/picture">
              <m:sSub>
                <m:e>
                  <m:r>
                    <m:t>q</m:t>
                  </m:r>
                </m:e>
                <m:sub>
                  <m:r>
                    <m:t>w</m:t>
                  </m:r>
                </m:sub>
              </m:sSub>
            </m:oMath>
            <w:r>
              <w:rPr>
                <w:b/>
                <w:sz w:val="17"/>
              </w:rPr>
              <w:t xml:space="preserve"> trans.</w:t>
            </w:r>
          </w:p>
        </w:tc>
        <w:tc>
          <w:tcPr>
            <w:tcW w:type="dxa" w:w="851"/>
          </w:tcPr>
          <w:p>
            <m:oMath xmlns:a="http://schemas.openxmlformats.org/drawingml/2006/main" xmlns:pic="http://schemas.openxmlformats.org/drawingml/2006/picture">
              <m:sSub>
                <m:e>
                  <m:r>
                    <m:t>q</m:t>
                  </m:r>
                </m:e>
                <m:sub>
                  <m:r>
                    <m:t>w</m:t>
                  </m:r>
                </m:sub>
              </m:sSub>
            </m:oMath>
            <w:r>
              <w:rPr>
                <w:b/>
                <w:sz w:val="17"/>
              </w:rPr>
              <w:t xml:space="preserve"> strong</w:t>
            </w:r>
          </w:p>
        </w:tc>
        <w:tc>
          <w:tcPr>
            <w:tcW w:type="dxa" w:w="851"/>
          </w:tcPr>
          <w:p>
            <m:oMath xmlns:a="http://schemas.openxmlformats.org/drawingml/2006/main" xmlns:pic="http://schemas.openxmlformats.org/drawingml/2006/picture">
              <m:r>
                <m:t>R</m:t>
              </m:r>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cov. all</w:t>
            </w:r>
          </w:p>
        </w:tc>
        <w:tc>
          <w:tcPr>
            <w:tcW w:type="dxa" w:w="851"/>
          </w:tcPr>
          <w:p>
            <w:r>
              <w:rPr>
                <w:b/>
                <w:sz w:val="17"/>
              </w:rPr>
              <w:t>weak</w:t>
            </w:r>
          </w:p>
        </w:tc>
        <w:tc>
          <w:tcPr>
            <w:tcW w:type="dxa" w:w="851"/>
          </w:tcPr>
          <w:p>
            <w:r>
              <w:rPr>
                <w:b/>
                <w:sz w:val="17"/>
              </w:rPr>
              <w:t>trans.</w:t>
            </w:r>
          </w:p>
        </w:tc>
        <w:tc>
          <w:tcPr>
            <w:tcW w:type="dxa" w:w="851"/>
          </w:tcPr>
          <w:p>
            <w:r>
              <w:rPr>
                <w:b/>
                <w:sz w:val="17"/>
              </w:rPr>
              <w:t>strong</w:t>
            </w:r>
          </w:p>
        </w:tc>
      </w:tr>
      <w:tr>
        <w:trPr>
          <w:cantSplit w:val="true"/>
        </w:trPr>
        <w:tc>
          <w:tcPr>
            <w:tcW w:type="dxa" w:w="851"/>
          </w:tcPr>
          <w:p>
            <w:r>
              <w:rPr>
                <w:sz w:val="17"/>
              </w:rPr>
              <w:t>single salt</w:t>
            </w:r>
          </w:p>
        </w:tc>
        <w:tc>
          <w:tcPr>
            <w:tcW w:type="dxa" w:w="851"/>
          </w:tcPr>
          <w:p>
            <w:r>
              <w:rPr>
                <w:sz w:val="17"/>
              </w:rPr>
              <w:t>0.2%</w:t>
            </w:r>
          </w:p>
        </w:tc>
        <w:tc>
          <w:tcPr>
            <w:tcW w:type="dxa" w:w="851"/>
          </w:tcPr>
          <w:p>
            <w:r>
              <w:rPr>
                <w:sz w:val="17"/>
              </w:rPr>
              <w:t>140.71%</w:t>
            </w:r>
          </w:p>
        </w:tc>
        <w:tc>
          <w:tcPr>
            <w:tcW w:type="dxa" w:w="851"/>
          </w:tcPr>
          <w:p>
            <w:r>
              <w:rPr>
                <w:sz w:val="17"/>
              </w:rPr>
              <w:t>997.51%</w:t>
            </w:r>
          </w:p>
        </w:tc>
        <w:tc>
          <w:tcPr>
            <w:tcW w:type="dxa" w:w="851"/>
          </w:tcPr>
          <w:p>
            <w:r>
              <w:rPr>
                <w:sz w:val="17"/>
              </w:rPr>
              <w:t>486.04%</w:t>
            </w:r>
          </w:p>
        </w:tc>
        <w:tc>
          <w:tcPr>
            <w:tcW w:type="dxa" w:w="851"/>
          </w:tcPr>
          <w:p>
            <w:r>
              <w:rPr>
                <w:sz w:val="17"/>
              </w:rPr>
              <w:t>70.48%</w:t>
            </w:r>
          </w:p>
        </w:tc>
        <w:tc>
          <w:tcPr>
            <w:tcW w:type="dxa" w:w="851"/>
          </w:tcPr>
          <w:p>
            <w:r>
              <w:rPr>
                <w:sz w:val="17"/>
              </w:rPr>
              <w:t>0.34%</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1%</w:t>
            </w:r>
          </w:p>
        </w:tc>
        <w:tc>
          <w:tcPr>
            <w:tcW w:type="dxa" w:w="851"/>
          </w:tcPr>
          <w:p>
            <w:r>
              <w:rPr>
                <w:sz w:val="17"/>
              </w:rPr>
              <w:t>140.41%</w:t>
            </w:r>
          </w:p>
        </w:tc>
        <w:tc>
          <w:tcPr>
            <w:tcW w:type="dxa" w:w="851"/>
          </w:tcPr>
          <w:p>
            <w:r>
              <w:rPr>
                <w:sz w:val="17"/>
              </w:rPr>
              <w:t>1605.31%</w:t>
            </w:r>
          </w:p>
        </w:tc>
        <w:tc>
          <w:tcPr>
            <w:tcW w:type="dxa" w:w="851"/>
          </w:tcPr>
          <w:p>
            <w:r>
              <w:rPr>
                <w:sz w:val="17"/>
              </w:rPr>
              <w:t>485.20%</w:t>
            </w:r>
          </w:p>
        </w:tc>
        <w:tc>
          <w:tcPr>
            <w:tcW w:type="dxa" w:w="851"/>
          </w:tcPr>
          <w:p>
            <w:r>
              <w:rPr>
                <w:sz w:val="17"/>
              </w:rPr>
              <w:t>77.31%</w:t>
            </w:r>
          </w:p>
        </w:tc>
        <w:tc>
          <w:tcPr>
            <w:tcW w:type="dxa" w:w="851"/>
          </w:tcPr>
          <w:p>
            <w:r>
              <w:rPr>
                <w:sz w:val="17"/>
              </w:rPr>
              <w:t>0.30%</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2%</w:t>
            </w:r>
          </w:p>
        </w:tc>
        <w:tc>
          <w:tcPr>
            <w:tcW w:type="dxa" w:w="851"/>
          </w:tcPr>
          <w:p>
            <w:r>
              <w:rPr>
                <w:sz w:val="17"/>
              </w:rPr>
              <w:t>138.44%</w:t>
            </w:r>
          </w:p>
        </w:tc>
        <w:tc>
          <w:tcPr>
            <w:tcW w:type="dxa" w:w="851"/>
          </w:tcPr>
          <w:p>
            <w:r>
              <w:rPr>
                <w:sz w:val="17"/>
              </w:rPr>
              <w:t>940.83%</w:t>
            </w:r>
          </w:p>
        </w:tc>
        <w:tc>
          <w:tcPr>
            <w:tcW w:type="dxa" w:w="851"/>
          </w:tcPr>
          <w:p>
            <w:r>
              <w:rPr>
                <w:sz w:val="17"/>
              </w:rPr>
              <w:t>206.11%</w:t>
            </w:r>
          </w:p>
        </w:tc>
        <w:tc>
          <w:tcPr>
            <w:tcW w:type="dxa" w:w="851"/>
          </w:tcPr>
          <w:p>
            <w:r>
              <w:rPr>
                <w:sz w:val="17"/>
              </w:rPr>
              <w:t>67.67%</w:t>
            </w:r>
          </w:p>
        </w:tc>
        <w:tc>
          <w:tcPr>
            <w:tcW w:type="dxa" w:w="851"/>
          </w:tcPr>
          <w:p>
            <w:r>
              <w:rPr>
                <w:sz w:val="17"/>
              </w:rPr>
              <w:t>0.49%</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reversal potential</w:t>
            </w:r>
          </w:p>
        </w:tc>
        <w:tc>
          <w:tcPr>
            <w:tcW w:type="dxa" w:w="851"/>
          </w:tcPr>
          <w:p>
            <w:r>
              <w:rPr>
                <w:sz w:val="17"/>
              </w:rPr>
              <w:t>0.2%</w:t>
            </w:r>
          </w:p>
        </w:tc>
        <w:tc>
          <w:tcPr>
            <w:tcW w:type="dxa" w:w="851"/>
          </w:tcPr>
          <w:p>
            <w:r>
              <w:rPr>
                <w:sz w:val="17"/>
              </w:rPr>
              <w:t>31.92%</w:t>
            </w:r>
          </w:p>
        </w:tc>
        <w:tc>
          <w:tcPr>
            <w:tcW w:type="dxa" w:w="851"/>
          </w:tcPr>
          <w:p>
            <w:r>
              <w:rPr>
                <w:sz w:val="17"/>
              </w:rPr>
              <w:t>94.03%</w:t>
            </w:r>
          </w:p>
        </w:tc>
        <w:tc>
          <w:tcPr>
            <w:tcW w:type="dxa" w:w="851"/>
          </w:tcPr>
          <w:p>
            <w:r>
              <w:rPr>
                <w:sz w:val="17"/>
              </w:rPr>
              <w:t>72.22%</w:t>
            </w:r>
          </w:p>
        </w:tc>
        <w:tc>
          <w:tcPr>
            <w:tcW w:type="dxa" w:w="851"/>
          </w:tcPr>
          <w:p>
            <w:r>
              <w:rPr>
                <w:sz w:val="17"/>
              </w:rPr>
              <w:t>6.09%</w:t>
            </w:r>
          </w:p>
        </w:tc>
        <w:tc>
          <w:tcPr>
            <w:tcW w:type="dxa" w:w="851"/>
          </w:tcPr>
          <w:p>
            <w:r>
              <w:rPr>
                <w:sz w:val="17"/>
              </w:rPr>
              <w:t>0.05%</w:t>
            </w:r>
          </w:p>
        </w:tc>
        <w:tc>
          <w:tcPr>
            <w:tcW w:type="dxa" w:w="851"/>
          </w:tcPr>
          <w:p>
            <w:r>
              <w:rPr>
                <w:sz w:val="17"/>
              </w:rPr>
              <w:t>62%</w:t>
            </w:r>
          </w:p>
        </w:tc>
        <w:tc>
          <w:tcPr>
            <w:tcW w:type="dxa" w:w="851"/>
          </w:tcPr>
          <w:p>
            <w:r>
              <w:rPr>
                <w:sz w:val="17"/>
              </w:rPr>
              <w:t>58%</w:t>
            </w:r>
          </w:p>
        </w:tc>
        <w:tc>
          <w:tcPr>
            <w:tcW w:type="dxa" w:w="851"/>
          </w:tcPr>
          <w:p>
            <w:r>
              <w:rPr>
                <w:sz w:val="17"/>
              </w:rPr>
              <w:t>49%</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1%</w:t>
            </w:r>
          </w:p>
        </w:tc>
        <w:tc>
          <w:tcPr>
            <w:tcW w:type="dxa" w:w="851"/>
          </w:tcPr>
          <w:p>
            <w:r>
              <w:rPr>
                <w:sz w:val="17"/>
              </w:rPr>
              <w:t>20.67%</w:t>
            </w:r>
          </w:p>
        </w:tc>
        <w:tc>
          <w:tcPr>
            <w:tcW w:type="dxa" w:w="851"/>
          </w:tcPr>
          <w:p>
            <w:r>
              <w:rPr>
                <w:sz w:val="17"/>
              </w:rPr>
              <w:t>263.41%</w:t>
            </w:r>
          </w:p>
        </w:tc>
        <w:tc>
          <w:tcPr>
            <w:tcW w:type="dxa" w:w="851"/>
          </w:tcPr>
          <w:p>
            <w:r>
              <w:rPr>
                <w:sz w:val="17"/>
              </w:rPr>
              <w:t>37.65%</w:t>
            </w:r>
          </w:p>
        </w:tc>
        <w:tc>
          <w:tcPr>
            <w:tcW w:type="dxa" w:w="851"/>
          </w:tcPr>
          <w:p>
            <w:r>
              <w:rPr>
                <w:sz w:val="17"/>
              </w:rPr>
              <w:t>7.29%</w:t>
            </w:r>
          </w:p>
        </w:tc>
        <w:tc>
          <w:tcPr>
            <w:tcW w:type="dxa" w:w="851"/>
          </w:tcPr>
          <w:p>
            <w:r>
              <w:rPr>
                <w:sz w:val="17"/>
              </w:rPr>
              <w:t>0.20%</w:t>
            </w:r>
          </w:p>
        </w:tc>
        <w:tc>
          <w:tcPr>
            <w:tcW w:type="dxa" w:w="851"/>
          </w:tcPr>
          <w:p>
            <w:r>
              <w:rPr>
                <w:sz w:val="17"/>
              </w:rPr>
              <w:t>56%</w:t>
            </w:r>
          </w:p>
        </w:tc>
        <w:tc>
          <w:tcPr>
            <w:tcW w:type="dxa" w:w="851"/>
          </w:tcPr>
          <w:p>
            <w:r>
              <w:rPr>
                <w:sz w:val="17"/>
              </w:rPr>
              <w:t>44%</w:t>
            </w:r>
          </w:p>
        </w:tc>
        <w:tc>
          <w:tcPr>
            <w:tcW w:type="dxa" w:w="851"/>
          </w:tcPr>
          <w:p>
            <w:r>
              <w:rPr>
                <w:sz w:val="17"/>
              </w:rPr>
              <w:t>46%</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2%</w:t>
            </w:r>
          </w:p>
        </w:tc>
        <w:tc>
          <w:tcPr>
            <w:tcW w:type="dxa" w:w="851"/>
          </w:tcPr>
          <w:p>
            <w:r>
              <w:rPr>
                <w:sz w:val="17"/>
              </w:rPr>
              <w:t>24.18%</w:t>
            </w:r>
          </w:p>
        </w:tc>
        <w:tc>
          <w:tcPr>
            <w:tcW w:type="dxa" w:w="851"/>
          </w:tcPr>
          <w:p>
            <w:r>
              <w:rPr>
                <w:sz w:val="17"/>
              </w:rPr>
              <w:t>382.51%</w:t>
            </w:r>
          </w:p>
        </w:tc>
        <w:tc>
          <w:tcPr>
            <w:tcW w:type="dxa" w:w="851"/>
          </w:tcPr>
          <w:p>
            <w:r>
              <w:rPr>
                <w:sz w:val="17"/>
              </w:rPr>
              <w:t>44.42%</w:t>
            </w:r>
          </w:p>
        </w:tc>
        <w:tc>
          <w:tcPr>
            <w:tcW w:type="dxa" w:w="851"/>
          </w:tcPr>
          <w:p>
            <w:r>
              <w:rPr>
                <w:sz w:val="17"/>
              </w:rPr>
              <w:t>7.72%</w:t>
            </w:r>
          </w:p>
        </w:tc>
        <w:tc>
          <w:tcPr>
            <w:tcW w:type="dxa" w:w="851"/>
          </w:tcPr>
          <w:p>
            <w:r>
              <w:rPr>
                <w:sz w:val="17"/>
              </w:rPr>
              <w:t>0.33%</w:t>
            </w:r>
          </w:p>
        </w:tc>
        <w:tc>
          <w:tcPr>
            <w:tcW w:type="dxa" w:w="851"/>
          </w:tcPr>
          <w:p>
            <w:r>
              <w:rPr>
                <w:sz w:val="17"/>
              </w:rPr>
              <w:t>52%</w:t>
            </w:r>
          </w:p>
        </w:tc>
        <w:tc>
          <w:tcPr>
            <w:tcW w:type="dxa" w:w="851"/>
          </w:tcPr>
          <w:p>
            <w:r>
              <w:rPr>
                <w:sz w:val="17"/>
              </w:rPr>
              <w:t>35%</w:t>
            </w:r>
          </w:p>
        </w:tc>
        <w:tc>
          <w:tcPr>
            <w:tcW w:type="dxa" w:w="851"/>
          </w:tcPr>
          <w:p>
            <w:r>
              <w:rPr>
                <w:sz w:val="17"/>
              </w:rPr>
              <w:t>40%</w:t>
            </w:r>
          </w:p>
        </w:tc>
        <w:tc>
          <w:tcPr>
            <w:tcW w:type="dxa" w:w="851"/>
          </w:tcPr>
          <w:p>
            <w:r>
              <w:rPr>
                <w:sz w:val="17"/>
              </w:rPr>
              <w:t>80%</w:t>
            </w:r>
          </w:p>
        </w:tc>
      </w:tr>
      <w:tr>
        <w:trPr>
          <w:cantSplit w:val="true"/>
        </w:trPr>
        <w:tc>
          <w:tcPr>
            <w:tcW w:type="dxa" w:w="851"/>
          </w:tcPr>
          <w:p>
            <w:r>
              <w:rPr>
                <w:sz w:val="17"/>
              </w:rPr>
              <w:t>dual + selectivity</w:t>
            </w:r>
          </w:p>
        </w:tc>
        <w:tc>
          <w:tcPr>
            <w:tcW w:type="dxa" w:w="851"/>
          </w:tcPr>
          <w:p>
            <w:r>
              <w:rPr>
                <w:sz w:val="17"/>
              </w:rPr>
              <w:t>0.2%</w:t>
            </w:r>
          </w:p>
        </w:tc>
        <w:tc>
          <w:tcPr>
            <w:tcW w:type="dxa" w:w="851"/>
          </w:tcPr>
          <w:p>
            <w:r>
              <w:rPr>
                <w:sz w:val="17"/>
              </w:rPr>
              <w:t>1.47%</w:t>
            </w:r>
          </w:p>
        </w:tc>
        <w:tc>
          <w:tcPr>
            <w:tcW w:type="dxa" w:w="851"/>
          </w:tcPr>
          <w:p>
            <w:r>
              <w:rPr>
                <w:sz w:val="17"/>
              </w:rPr>
              <w:t>1.41%</w:t>
            </w:r>
          </w:p>
        </w:tc>
        <w:tc>
          <w:tcPr>
            <w:tcW w:type="dxa" w:w="851"/>
          </w:tcPr>
          <w:p>
            <w:r>
              <w:rPr>
                <w:sz w:val="17"/>
              </w:rPr>
              <w:t>1.36%</w:t>
            </w:r>
          </w:p>
        </w:tc>
        <w:tc>
          <w:tcPr>
            <w:tcW w:type="dxa" w:w="851"/>
          </w:tcPr>
          <w:p>
            <w:r>
              <w:rPr>
                <w:sz w:val="17"/>
              </w:rPr>
              <w:t>2.62%</w:t>
            </w:r>
          </w:p>
        </w:tc>
        <w:tc>
          <w:tcPr>
            <w:tcW w:type="dxa" w:w="851"/>
          </w:tcPr>
          <w:p>
            <w:r>
              <w:rPr>
                <w:sz w:val="17"/>
              </w:rPr>
              <w:t>0.03%</w:t>
            </w:r>
          </w:p>
        </w:tc>
        <w:tc>
          <w:tcPr>
            <w:tcW w:type="dxa" w:w="851"/>
          </w:tcPr>
          <w:p>
            <w:r>
              <w:rPr>
                <w:sz w:val="17"/>
              </w:rPr>
              <w:t>4%</w:t>
            </w:r>
          </w:p>
        </w:tc>
        <w:tc>
          <w:tcPr>
            <w:tcW w:type="dxa" w:w="851"/>
          </w:tcPr>
          <w:p>
            <w:r>
              <w:rPr>
                <w:sz w:val="17"/>
              </w:rPr>
              <w:t>13%</w:t>
            </w:r>
          </w:p>
        </w:tc>
        <w:tc>
          <w:tcPr>
            <w:tcW w:type="dxa" w:w="851"/>
          </w:tcPr>
          <w:p>
            <w:r>
              <w:rPr>
                <w:sz w:val="17"/>
              </w:rPr>
              <w:t>0%</w:t>
            </w:r>
          </w:p>
        </w:tc>
        <w:tc>
          <w:tcPr>
            <w:tcW w:type="dxa" w:w="851"/>
          </w:tcPr>
          <w:p>
            <w:r>
              <w:rPr>
                <w:sz w:val="17"/>
              </w:rPr>
              <w:t>0%</w:t>
            </w:r>
          </w:p>
        </w:tc>
      </w:tr>
      <w:tr>
        <w:trPr>
          <w:cantSplit w:val="true"/>
        </w:trPr>
        <w:tc>
          <w:tcPr>
            <w:tcW w:type="dxa" w:w="851"/>
          </w:tcPr>
          <w:p>
            <w:r>
              <w:rPr>
                <w:sz w:val="17"/>
              </w:rPr>
              <w:t>dual + selectivity</w:t>
            </w:r>
          </w:p>
        </w:tc>
        <w:tc>
          <w:tcPr>
            <w:tcW w:type="dxa" w:w="851"/>
          </w:tcPr>
          <w:p>
            <w:r>
              <w:rPr>
                <w:sz w:val="17"/>
              </w:rPr>
              <w:t>1%</w:t>
            </w:r>
          </w:p>
        </w:tc>
        <w:tc>
          <w:tcPr>
            <w:tcW w:type="dxa" w:w="851"/>
          </w:tcPr>
          <w:p>
            <w:r>
              <w:rPr>
                <w:sz w:val="17"/>
              </w:rPr>
              <w:t>1.72%</w:t>
            </w:r>
          </w:p>
        </w:tc>
        <w:tc>
          <w:tcPr>
            <w:tcW w:type="dxa" w:w="851"/>
          </w:tcPr>
          <w:p>
            <w:r>
              <w:rPr>
                <w:sz w:val="17"/>
              </w:rPr>
              <w:t>1.38%</w:t>
            </w:r>
          </w:p>
        </w:tc>
        <w:tc>
          <w:tcPr>
            <w:tcW w:type="dxa" w:w="851"/>
          </w:tcPr>
          <w:p>
            <w:r>
              <w:rPr>
                <w:sz w:val="17"/>
              </w:rPr>
              <w:t>1.40%</w:t>
            </w:r>
          </w:p>
        </w:tc>
        <w:tc>
          <w:tcPr>
            <w:tcW w:type="dxa" w:w="851"/>
          </w:tcPr>
          <w:p>
            <w:r>
              <w:rPr>
                <w:sz w:val="17"/>
              </w:rPr>
              <w:t>2.41%</w:t>
            </w:r>
          </w:p>
        </w:tc>
        <w:tc>
          <w:tcPr>
            <w:tcW w:type="dxa" w:w="851"/>
          </w:tcPr>
          <w:p>
            <w:r>
              <w:rPr>
                <w:sz w:val="17"/>
              </w:rPr>
              <w:t>0.17%</w:t>
            </w:r>
          </w:p>
        </w:tc>
        <w:tc>
          <w:tcPr>
            <w:tcW w:type="dxa" w:w="851"/>
          </w:tcPr>
          <w:p>
            <w:r>
              <w:rPr>
                <w:sz w:val="17"/>
              </w:rPr>
              <w:t>68%</w:t>
            </w:r>
          </w:p>
        </w:tc>
        <w:tc>
          <w:tcPr>
            <w:tcW w:type="dxa" w:w="851"/>
          </w:tcPr>
          <w:p>
            <w:r>
              <w:rPr>
                <w:sz w:val="17"/>
              </w:rPr>
              <w:t>89%</w:t>
            </w:r>
          </w:p>
        </w:tc>
        <w:tc>
          <w:tcPr>
            <w:tcW w:type="dxa" w:w="851"/>
          </w:tcPr>
          <w:p>
            <w:r>
              <w:rPr>
                <w:sz w:val="17"/>
              </w:rPr>
              <w:t>70%</w:t>
            </w:r>
          </w:p>
        </w:tc>
        <w:tc>
          <w:tcPr>
            <w:tcW w:type="dxa" w:w="851"/>
          </w:tcPr>
          <w:p>
            <w:r>
              <w:rPr>
                <w:sz w:val="17"/>
              </w:rPr>
              <w:t>44%</w:t>
            </w:r>
          </w:p>
        </w:tc>
      </w:tr>
      <w:tr>
        <w:trPr>
          <w:cantSplit w:val="true"/>
        </w:trPr>
        <w:tc>
          <w:tcPr>
            <w:tcW w:type="dxa" w:w="851"/>
          </w:tcPr>
          <w:p>
            <w:r>
              <w:rPr>
                <w:sz w:val="17"/>
              </w:rPr>
              <w:t>dual + selectivity</w:t>
            </w:r>
          </w:p>
        </w:tc>
        <w:tc>
          <w:tcPr>
            <w:tcW w:type="dxa" w:w="851"/>
          </w:tcPr>
          <w:p>
            <w:r>
              <w:rPr>
                <w:sz w:val="17"/>
              </w:rPr>
              <w:t>2%</w:t>
            </w:r>
          </w:p>
        </w:tc>
        <w:tc>
          <w:tcPr>
            <w:tcW w:type="dxa" w:w="851"/>
          </w:tcPr>
          <w:p>
            <w:r>
              <w:rPr>
                <w:sz w:val="17"/>
              </w:rPr>
              <w:t>2.29%</w:t>
            </w:r>
          </w:p>
        </w:tc>
        <w:tc>
          <w:tcPr>
            <w:tcW w:type="dxa" w:w="851"/>
          </w:tcPr>
          <w:p>
            <w:r>
              <w:rPr>
                <w:sz w:val="17"/>
              </w:rPr>
              <w:t>2.55%</w:t>
            </w:r>
          </w:p>
        </w:tc>
        <w:tc>
          <w:tcPr>
            <w:tcW w:type="dxa" w:w="851"/>
          </w:tcPr>
          <w:p>
            <w:r>
              <w:rPr>
                <w:sz w:val="17"/>
              </w:rPr>
              <w:t>1.80%</w:t>
            </w:r>
          </w:p>
        </w:tc>
        <w:tc>
          <w:tcPr>
            <w:tcW w:type="dxa" w:w="851"/>
          </w:tcPr>
          <w:p>
            <w:r>
              <w:rPr>
                <w:sz w:val="17"/>
              </w:rPr>
              <w:t>2.74%</w:t>
            </w:r>
          </w:p>
        </w:tc>
        <w:tc>
          <w:tcPr>
            <w:tcW w:type="dxa" w:w="851"/>
          </w:tcPr>
          <w:p>
            <w:r>
              <w:rPr>
                <w:sz w:val="17"/>
              </w:rPr>
              <w:t>0.39%</w:t>
            </w:r>
          </w:p>
        </w:tc>
        <w:tc>
          <w:tcPr>
            <w:tcW w:type="dxa" w:w="851"/>
          </w:tcPr>
          <w:p>
            <w:r>
              <w:rPr>
                <w:sz w:val="17"/>
              </w:rPr>
              <w:t>87%</w:t>
            </w:r>
          </w:p>
        </w:tc>
        <w:tc>
          <w:tcPr>
            <w:tcW w:type="dxa" w:w="851"/>
          </w:tcPr>
          <w:p>
            <w:r>
              <w:rPr>
                <w:sz w:val="17"/>
              </w:rPr>
              <w:t>87%</w:t>
            </w:r>
          </w:p>
        </w:tc>
        <w:tc>
          <w:tcPr>
            <w:tcW w:type="dxa" w:w="851"/>
          </w:tcPr>
          <w:p>
            <w:r>
              <w:rPr>
                <w:sz w:val="17"/>
              </w:rPr>
              <w:t>91%</w:t>
            </w:r>
          </w:p>
        </w:tc>
        <w:tc>
          <w:tcPr>
            <w:tcW w:type="dxa" w:w="851"/>
          </w:tcPr>
          <w:p>
            <w:r>
              <w:rPr>
                <w:sz w:val="17"/>
              </w:rPr>
              <w:t>83%</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mol m⁻³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20 realizations are used per state–protocol–noise cell.</w:t>
      </w:r>
    </w:p>
    <w:p>
      <w:r>
        <w:rPr>
          <w:b/>
        </w:rPr>
        <w:t>Search.</w:t>
      </w:r>
      <w:r>
        <w:t xml:space="preserve"> The Stage-18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Stage-20 estimator is a blind, refreshed-Jacobian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non-converged realizations are recorded. The final covariance is evaluated at the converged estimate;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We report medians, interquartile ranges, and separate 95% coverage for the three parameters over the 300 realizations per cell.</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Stage-20 blind refreshed-Jacobian results and the three-way bias diagnostic. At 1% noise, single- and multi-salt conductance leave the median </w:t>
      </w:r>
      <m:oMath xmlns:a="http://schemas.openxmlformats.org/drawingml/2006/main" xmlns:pic="http://schemas.openxmlformats.org/drawingml/2006/picture">
        <m:sSub>
          <m:e>
            <m:r>
              <m:t>q</m:t>
            </m:r>
          </m:e>
          <m:sub>
            <m:r>
              <m:t>w</m:t>
            </m:r>
          </m:sub>
        </m:sSub>
      </m:oMath>
      <w:r>
        <w:t xml:space="preserve"> error above 100%, while the Stage-18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Stage-20 refreshed-Jacobian estimator is reported separately and is not pooled with the Stage-18 grid search.</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