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/>
    <w:p>
      <w:r>
        <w:rPr>
          <w:b/>
        </w:rPr>
        <w:t>Date:</w:t>
      </w:r>
      <w:r>
        <w:t xml:space="preserve"> 20 October 2026</w:t>
      </w:r>
    </w:p>
    <w:p/>
    <w:p>
      <w:r>
        <w:rPr>
          <w:b/>
        </w:rPr>
        <w:t>To the Editors-in-Chief</w:t>
      </w:r>
    </w:p>
    <w:p>
      <w:r>
        <w:rPr>
          <w:i/>
        </w:rPr>
        <w:t>Computer Physics Communications / Journal of Computational Physics</w:t>
      </w:r>
    </w:p>
    <w:p/>
    <w:p>
      <w:r>
        <w:rPr>
          <w:b/>
        </w:rPr>
        <w:t>Subject:</w:t>
      </w:r>
      <w:r>
        <w:t xml:space="preserve"> Submission of an original research article</w:t>
      </w:r>
    </w:p>
    <w:p/>
    <w:p>
      <w:r>
        <w:t>Dear Editors,</w:t>
      </w:r>
    </w:p>
    <w:p/>
    <w:p>
      <w:r>
        <w:t xml:space="preserve">I am pleased to submit the original research article entitled </w:t>
      </w:r>
      <w:r>
        <w:rPr>
          <w:b/>
        </w:rPr>
        <w:t>"Conductance identifiability limits and physics-constrained neural operators for axisymmetric Poisson--Nernst--Planck transport in charged nanopores"</w:t>
      </w:r>
      <w:r>
        <w:t xml:space="preserve"> for consideration at </w:t>
      </w:r>
      <w:r>
        <w:rPr>
          <w:i/>
        </w:rPr>
        <w:t>Computer Physics Communications / Journal of Computational Physics</w:t>
      </w:r>
      <w:r>
        <w:t>.</w:t>
      </w:r>
    </w:p>
    <w:p/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/>
    <w:p>
      <w:r>
        <w:t>The work combines a numerical-methods contribution with a reusable computational package: a hard-constrained operator ansatz, a controlled accuracy and ablation study, and a documented, MIT-licensed software release that includes trained models, verification reports, and an interactive simulator.</w:t>
      </w:r>
    </w:p>
    <w:p/>
    <w:p>
      <w:r>
        <w:t>This work advances decisively beyond my prior fixed-state deep-adaptive PINN study (submitted as COMPHY-D-26-00857), which solved the axisymmetric Poisson–Nernst–Planck (PNP) system for a single operating point at a time and required roughly 500 s of retraining per new state. The present manuscript replaces that per-state workflow with a single parameter-conditioned neural operator, and it contributes the following.</w:t>
      </w:r>
    </w:p>
    <w:p/>
    <w:p>
      <w:r>
        <w:t xml:space="preserve">1. </w:t>
      </w:r>
      <w:r>
        <w:rPr>
          <w:b/>
        </w:rPr>
        <w:t>A 4D parameter-conditioned operator.</w:t>
      </w:r>
      <w:r>
        <w:t xml:space="preserve"> A multi-scale radial physics-informed DeepONet maps the four physical parameters </w:t>
      </w:r>
      <m:oMath xmlns:a="http://schemas.openxmlformats.org/drawingml/2006/main" xmlns:pic="http://schemas.openxmlformats.org/drawingml/2006/picture"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directly to the coupled potential and ionic-concentration fields, eliminating the ~500 s per-state retraining bottleneck of the prior DA-PINN and enabling instant querying of the whole parameter family from a single trained model.</w:t>
      </w:r>
    </w:p>
    <w:p/>
    <w:p>
      <w:r>
        <w:t xml:space="preserve">2. </w:t>
      </w:r>
      <w:r>
        <w:rPr>
          <w:b/>
        </w:rPr>
        <w:t>An exact-boundary, charge-balanced reparameterization.</w:t>
      </w:r>
      <w:r>
        <w:t xml:space="preserve"> The ansatz predicts a positive concentration sum </w:t>
      </w:r>
      <m:oMath xmlns:a="http://schemas.openxmlformats.org/drawingml/2006/main" xmlns:pic="http://schemas.openxmlformats.org/drawingml/2006/picture">
        <m:r>
          <m:t>s</m:t>
        </m:r>
      </m:oMath>
      <w:r>
        <w:t xml:space="preserve"> and a net charge </w:t>
      </w:r>
      <m:oMath xmlns:a="http://schemas.openxmlformats.org/drawingml/2006/main" xmlns:pic="http://schemas.openxmlformats.org/drawingml/2006/picture">
        <m:r>
          <m:t>ρ</m:t>
        </m:r>
      </m:oMath>
      <w:r>
        <w:t xml:space="preserve">, with the exponential envelope </w:t>
      </w: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and </w:t>
      </w:r>
      <m:oMath xmlns:a="http://schemas.openxmlformats.org/drawingml/2006/main" xmlns:pic="http://schemas.openxmlformats.org/drawingml/2006/picture">
        <m:r>
          <m:t>ρ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ρ</m:t>
            </m:r>
          </m:sub>
        </m:sSub>
      </m:oMath>
      <w:r>
        <w:t xml:space="preserve">, and reconstructs physical concentrations through the hyperbolic identity </w:t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±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>. This enforces the reservoir boundary conditions exactly and removes the subtractive cancellation that limits net-charge accuracy, reducing net-charge error 8.63-fold (DeepONet) and 10.29-fold (FNO) relative to a direct-concentration output.</w:t>
      </w:r>
    </w:p>
    <w:p/>
    <w:p>
      <w:r>
        <w:t xml:space="preserve">3. </w:t>
      </w:r>
      <w:r>
        <w:rPr>
          <w:b/>
        </w:rPr>
        <w:t>A head-to-head operator comparison.</w:t>
      </w:r>
      <w:r>
        <w:t xml:space="preserve"> The multi-scale radial PI-DeepONet (36,880 parameters, 0.072 ms ONNX latency) is benchmarked against a four-layer real-DFT Fourier neural operator with 12.5-fold more parameters (460,488), across both in-distribution and out-of-distribution Debye-overlap regimes. The DeepONet is 6.16-fold more accurate in potential and 7.79-fold more accurate in current in-distribution, while the FNO is better for net charge and cation concentration out of distribution, isolating where each architecture succeeds.</w:t>
      </w:r>
    </w:p>
    <w:p/>
    <w:p>
      <w:r>
        <w:t xml:space="preserve">4. </w:t>
      </w:r>
      <w:r>
        <w:rPr>
          <w:b/>
        </w:rPr>
        <w:t>An inverse-sensing demonstration and an identifiability result.</w:t>
      </w:r>
      <w:r>
        <w:t xml:space="preserve"> A gradient-free inverse recovery runs roughly 3,200-fold faster than the finite-volume reference solver. A Fisher-information analysis and a 15-state, three-protocol study reveal a physical conductance identifiability boundary: the pore radius is recoverable from a five-bias current–voltage curve to 0.46%, whereas the surface charge is a flat direction whose current signature stays below the 1% noise floor at every operating point. Neither single-salt nor multi-salt current–voltage data resolve that charge; adding an independent near-wall selectivity observable recovers both radius and wall charge to below 0.3%. The contrast is a limitation of the measurement, not of the surrogate or solver: the exact SG/FV Fisher matrix gives </w:t>
      </w:r>
      <m:oMath xmlns:a="http://schemas.openxmlformats.org/drawingml/2006/main" xmlns:pic="http://schemas.openxmlformats.org/drawingml/2006/picture">
        <m:r>
          <m:t>κ</m:t>
        </m:r>
        <m:r>
          <m:rPr>
            <m:sty m:val="p"/>
          </m:rPr>
          <m:t>(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for conductance-only protocols.</w:t>
      </w:r>
    </w:p>
    <w:p/>
    <w:p>
      <w:r>
        <w:t xml:space="preserve">5. </w:t>
      </w:r>
      <w:r>
        <w:rPr>
          <w:b/>
        </w:rPr>
        <w:t>Scope-bounding ablations.</w:t>
      </w:r>
      <w:r>
        <w:t xml:space="preserve"> A trunk ablation at matched capacity shows that the multi-scale radial basis is a modest near-wall inductive bias rather than a necessity (about 7% lower wall-gradient error, no bulk-accuracy advantage), and a nested 384-state study gives an in-distribution data-scaling exponent of 0.55 close to the expected N^−1/2, while out-of-distribution error is nearly data-insensitive; a spatial decomposition shows that the residual OOD error is concentrated in the wall EDL and reservoir transitions but cancels in the integrated current.</w:t>
      </w:r>
    </w:p>
    <w:p/>
    <w:p>
      <w:r>
        <w:t xml:space="preserve">6. </w:t>
      </w:r>
      <w:r>
        <w:rPr>
          <w:b/>
        </w:rPr>
        <w:t>Reproducibility and an interactive tool.</w:t>
      </w:r>
      <w:r>
        <w:t xml:space="preserve"> A verified 240-state benchmark plus a 384-state scaling expansion, trained seed-42 models in PyTorch and ONNX, archived result files, a serverless browser simulator, and an MIT-licensed reproducibility package accompany the manuscript. Every number in the paper is traceable to an archived artifact.</w:t>
      </w:r>
    </w:p>
    <w:p/>
    <w:p>
      <w:r>
        <w:t xml:space="preserve">7. </w:t>
      </w:r>
      <w:r>
        <w:rPr>
          <w:b/>
        </w:rPr>
        <w:t>A four-way constraint benchmark and an exact Jacobian validation.</w:t>
      </w:r>
      <w:r>
        <w:t xml:space="preserve"> Under an identical PI-DeepONet backbone and three seeds, the hyperbolic reparameterization matches the best projection scheme in accuracy while keeping the charge identity exact to machine precision, and a physics-weight sweep identifies </w:t>
      </w:r>
      <m:oMath xmlns:a="http://schemas.openxmlformats.org/drawingml/2006/main" xmlns:pic="http://schemas.openxmlformats.org/drawingml/2006/picture"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as the Pareto point. A centered finite-difference Jacobian of the float64 SG/FV solver validates the operator's Fisher analysis: the two agree on </w:t>
      </w:r>
      <m:oMath xmlns:a="http://schemas.openxmlformats.org/drawingml/2006/main" xmlns:pic="http://schemas.openxmlformats.org/drawingml/2006/picture">
        <m:r>
          <m:rPr>
            <m:sty m:val="p"/>
          </m:rPr>
          <m:t>∂</m:t>
        </m:r>
        <m:r>
          <m:rPr>
            <m:sty m:val="p"/>
          </m:rPr>
          <m:t>ln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R</m:t>
        </m:r>
      </m:oMath>
      <w:r>
        <w:t xml:space="preserve"> to </w:t>
      </w:r>
      <m:oMath xmlns:a="http://schemas.openxmlformats.org/drawingml/2006/main" xmlns:pic="http://schemas.openxmlformats.org/drawingml/2006/picture">
        <m:r>
          <m:t>1.5</m:t>
        </m:r>
        <m:r>
          <m:t>i</m:t>
        </m:r>
        <m:r>
          <m:t>m</m:t>
        </m:r>
        <m:r>
          <m:t>e</m:t>
        </m:r>
        <m:r>
          <m:t>s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>, and both collapse the charge-conditioning number by ten orders of magnitude once the near-wall selectivity observable is added.</w:t>
      </w:r>
    </w:p>
    <w:p/>
    <w:p>
      <w:r>
        <w:t>The manuscript is original, has not been published previously, and is not under consideration elsewhere. All authors have approved the submission, and the author declares no competing interests.</w:t>
      </w:r>
    </w:p>
    <w:p/>
    <w:p>
      <w:r>
        <w:rPr>
          <w:b/>
        </w:rPr>
        <w:t>Data and code availability.</w:t>
      </w:r>
      <w:r>
        <w:t xml:space="preserve"> The reproducibility package is available at https://github.com/Javad-Alizargar/nanopore-pino-surrogate under the MIT License, and the interactive simulator is hosted at https://pino.statwhy.com/. A permanent Zenodo DOI will be minted upon acceptance.</w:t>
      </w:r>
    </w:p>
    <w:p/>
    <w:p>
      <w:r>
        <w:t>Thank you for considering this manuscript. I look forward to your response and would be glad to provide any additional information.</w:t>
      </w:r>
    </w:p>
    <w:p/>
    <w:p>
      <w:r>
        <w:t>Sincerely,</w:t>
      </w:r>
    </w:p>
    <w:p/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