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20 October 2026</w:t>
      </w:r>
    </w:p>
    <w:p/>
    <w:p>
      <w:r>
        <w:rPr>
          <w:b/>
        </w:rPr>
        <w:t>To the Editors-in-Chief</w:t>
      </w:r>
    </w:p>
    <w:p>
      <w:r>
        <w:rPr>
          <w:i/>
        </w:rPr>
        <w:t>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"Conductance identifiability limits and physics-constrained neural operators for axisymmetric Poisson--Nernst--Planck transport in charged nanopores"</w:t>
      </w:r>
      <w:r>
        <w:t xml:space="preserve"> for consideration at </w:t>
      </w:r>
      <w:r>
        <w:rPr>
          <w:i/>
        </w:rPr>
        <w:t>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 xml:space="preserve">This work is a natural fit for </w:t>
      </w:r>
      <w:r>
        <w:rPr>
          <w:i/>
        </w:rPr>
        <w:t>Journal of Computational Physics</w:t>
      </w:r>
      <w:r>
        <w:t xml:space="preserve"> because its core contributions are a numerical-methods result and a validated identifiability ansatz that removes subtractive cancellation in coupled Nernst–Planck fields, a controlled accuracy, ablation, and out-of-distribution study of two operator backbones against a conservative Scharfetter–Gummel reference, and a Fisher analysis validated against exact float64 finite-difference Jacobians.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 The contrast is a limitation of the measurement, not of the surrogate or solver: the exact SG/FV Fisher matrix gives </w:t>
      </w:r>
      <m:oMath xmlns:a="http://schemas.openxmlformats.org/drawingml/2006/main" xmlns:pic="http://schemas.openxmlformats.org/drawingml/2006/picture">
        <m:r>
          <m:t>κ</m:t>
        </m:r>
        <m:r>
          <m:rPr>
            <m:sty m:val="p"/>
          </m:rPr>
          <m:t>(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for conductance-only protocols.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data-insensitive; a spatial decomposition shows that the residual OOD error is concentrated in the wall EDL and reservoir transitions but cancels in the integrated current.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