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Conductance identifiability limits and physics-constrained neural operators for axisymmetric Poisson–Nernst–Planck transport in charged nanopores</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PINO-Nanopore maps four PNP parameters to fields in 0.072 ms on one CPU.</w:t>
      </w:r>
    </w:p>
    <w:p>
      <w:pPr>
        <w:pStyle w:val="ListBullet"/>
      </w:pPr>
      <w:r>
        <w:t>Charge-balanced sum/difference outputs cut net-charge error 8.63–10.29-fold.</w:t>
      </w:r>
    </w:p>
    <w:p>
      <w:pPr>
        <w:pStyle w:val="ListBullet"/>
      </w:pPr>
      <w:r>
        <w:t>Exact SG/FV Jacobians confirm the operator's conductance sensitivities.</w:t>
      </w:r>
    </w:p>
    <w:p>
      <w:pPr>
        <w:pStyle w:val="ListBullet"/>
      </w:pPr>
      <w:r>
        <w:t>Wall charge is unidentifiable from conductance alone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w:t>
      </w:r>
    </w:p>
    <w:p>
      <w:pPr>
        <w:pStyle w:val="ListBullet"/>
      </w:pPr>
      <w:r>
        <w:t>A near-wall selectivity probe recovers radius and charge below 0.3%.</w:t>
      </w:r>
    </w:p>
    <w:p>
      <w:pPr>
        <w:pStyle w:val="Heading2"/>
      </w:pPr>
      <w:r>
        <w:t>Abstract</w:t>
      </w:r>
    </w:p>
    <w:p>
      <w:r>
        <w:t xml:space="preserve">Inferring nanopore surface charge and geometry from ionic current–voltage measurements is a central inverse problem in nanofluidic sensing, yet repeated Poisson–Nernst–Planck (PNP) solves are too slow for exhaustive identifiability mapping and single-state physics-informed networks require retraining per operating point. We address both with PINO-Nanopore, a validated, exact-boundary, charge-balanced operator for steady axisymmetric PNP transport over voltage, salinity, wall charge, and radius, used as a high-throughput instrument to map what conductance can and cannot identify. A conservative Scharfetter–Gummel solver generates a 240-state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A multi-scale radial physics-informed DeepONet (36,880 parameters) and a real-DFT Fourier neural operator (460,488 parameters) predict a positive salt sum and net charge and reconstruct concentrations hyperbolically, so reservoir data and the charge identity hold exactly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On held-out states the DeepONet reaches relative </w:t>
      </w:r>
      <m:oMath xmlns:a="http://schemas.openxmlformats.org/drawingml/2006/main" xmlns:pic="http://schemas.openxmlformats.org/drawingml/2006/picture">
        <m:sSub>
          <m:e>
            <m:r>
              <m:t>L</m:t>
            </m:r>
          </m:e>
          <m:sub>
            <m:r>
              <m:t>2</m:t>
            </m:r>
          </m:sub>
        </m:sSub>
      </m:oMath>
      <w:r>
        <w:t xml:space="preserve"> errors of 0.0008914 for potential and 0.001093 for current, and 0.001363 out of distribution, at 0.072 ms per state on one CPU. Verified against exact float64 SG/FV Jacobians (median agreement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a Fisher analysis proves fixed wall charge unidentifiable from symmetric-electrolyte conductance alone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and shows that a near-wall Donnan selectivity observable collapses the conditioning by ten orders of magnitude, recovering radius and charge below 0.3%. A four-way constraint benchmark, a physics-weight sweep, and an out-of-distribution error decomposition isolate the design choices. The package is deployed in browser and Gradio interfaces with a live reference solver.</w:t>
      </w:r>
    </w:p>
    <w:p>
      <w:r>
        <w:rPr>
          <w:b/>
        </w:rPr>
        <w:t>Keywords:</w:t>
      </w:r>
      <w:r>
        <w:t xml:space="preserve"> Poisson–Nernst–Planck; nanopore; neural operator; DeepONet; Fourier neural operator; physics-informed machine learning; inverse problem; identifiability; Donnan selectivity</w:t>
      </w:r>
    </w:p>
    <w:p>
      <w:pPr>
        <w:pStyle w:val="Heading2"/>
      </w:pPr>
      <w:r>
        <w:t>CPC Program Summary</w:t>
      </w:r>
    </w:p>
    <w:p>
      <w:r>
        <w:rPr>
          <w:b/>
        </w:rPr>
        <w:t>Program title:</w:t>
      </w:r>
      <w:r>
        <w:t xml:space="preserve"> PINO-Nanopore</w:t>
      </w:r>
    </w:p>
    <w:p>
      <w:r>
        <w:rPr>
          <w:b/>
        </w:rPr>
        <w:t>Software name:</w:t>
      </w:r>
      <w:r>
        <w:t xml:space="preserve"> </w:t>
      </w:r>
      <w:r>
        <w:rPr>
          <w:rFonts w:ascii="Consolas" w:hAnsi="Consolas"/>
          <w:sz w:val="19"/>
        </w:rPr>
        <w:t>nanopore-pino-surrogate</w:t>
      </w:r>
    </w:p>
    <w:p>
      <w:r>
        <w:rPr>
          <w:b/>
        </w:rPr>
        <w:t>Program obtainable from:</w:t>
      </w:r>
      <w:r>
        <w:t xml:space="preserve"> https://github.com/Javad-Alizargar/nanopore-pino-surrogate</w:t>
      </w:r>
    </w:p>
    <w:p>
      <w:r>
        <w:rPr>
          <w:b/>
        </w:rPr>
        <w:t>CPC Library link to program files:</w:t>
      </w:r>
      <w:r>
        <w:t xml:space="preserve"> added by the CPC Technical Editor upon acceptance</w:t>
      </w:r>
    </w:p>
    <w:p>
      <w:r>
        <w:rPr>
          <w:b/>
        </w:rPr>
        <w:t>Licensing provisions:</w:t>
      </w:r>
      <w:r>
        <w:t xml:space="preserve"> MIT License (Copyright 2026 Javad Alizargar)</w:t>
      </w:r>
    </w:p>
    <w:p>
      <w:r>
        <w:rPr>
          <w:b/>
        </w:rPr>
        <w:t>Distribution format:</w:t>
      </w:r>
      <w:r>
        <w:t xml:space="preserve"> Source code (Python and JavaScript), ONNX models, CSV/JSON data, and documentation</w:t>
      </w:r>
    </w:p>
    <w:p>
      <w:r>
        <w:rPr>
          <w:b/>
        </w:rPr>
        <w:t>Programming language:</w:t>
      </w:r>
      <w:r>
        <w:t xml:space="preserve"> Python 3.14; JavaScript ES6</w:t>
      </w:r>
    </w:p>
    <w:p>
      <w:r>
        <w:rPr>
          <w:b/>
        </w:rPr>
        <w:t>Computer:</w:t>
      </w:r>
      <w:r>
        <w:t xml:space="preserve"> Apple M1 (arm64); any x86-64 or arm64 machine with Python 3.10+ and a modern browser</w:t>
      </w:r>
    </w:p>
    <w:p>
      <w:r>
        <w:rPr>
          <w:b/>
        </w:rPr>
        <w:t>Operating system:</w:t>
      </w:r>
      <w:r>
        <w:t xml:space="preserve"> macOS 14.1 (tested); Linux and Windows are supported by the dependencies</w:t>
      </w:r>
    </w:p>
    <w:p>
      <w:r>
        <w:rPr>
          <w:b/>
        </w:rPr>
        <w:t>RAM:</w:t>
      </w:r>
      <w:r>
        <w:t xml:space="preserve"> 8 GB minimum; 16 GB recommended</w:t>
      </w:r>
    </w:p>
    <w:p>
      <w:r>
        <w:rPr>
          <w:b/>
        </w:rPr>
        <w:t>Number of processors used:</w:t>
      </w:r>
      <w:r>
        <w:t xml:space="preserve"> 1 CPU core (no GPU required)</w:t>
      </w:r>
    </w:p>
    <w:p>
      <w:r>
        <w:rPr>
          <w:b/>
        </w:rPr>
        <w:t>Parallelization:</w:t>
      </w:r>
      <w:r>
        <w:t xml:space="preserve"> Serial; batched ONNX inference and single-threaded browser inference</w:t>
      </w:r>
    </w:p>
    <w:p>
      <w:r>
        <w:rPr>
          <w:b/>
        </w:rPr>
        <w:t>Keywords:</w:t>
      </w:r>
      <w:r>
        <w:t xml:space="preserve"> Poisson–Nernst–Planck; nanopore; neural operator; DeepONet; Fourier neural operator; physics-informed machine learning; inverse problem; identifiability; Donnan selectivity</w:t>
      </w:r>
    </w:p>
    <w:p>
      <w:r>
        <w:rPr>
          <w:b/>
        </w:rPr>
        <w:t>Classification:</w:t>
      </w:r>
      <w:r>
        <w:t xml:space="preserve"> 02.70.-c (computational techniques); 87.16.dj (membranes and bilayers)</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 A second problem is scientific rather than computational: it is not known which of these parameters a conductance measurement can actually identify, because geometric access and wall-charge Donnan enrichment enter the current in a correlated way.</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The operator is then used as a computational instrument: its Fisher information is validated against exact float64 finite-difference Jacobians of the reference solver, and the resulting identifiability map separates radius from wall charge and identifies the near-wall Donnan selectivity observable that breaks the conductance degeneracy. Models are exported to ONNX and served by a static browser simulator (JavaScript) with a live reference solve and a Gradio application.</w:t>
      </w:r>
    </w:p>
    <w:p>
      <w:r>
        <w:rPr>
          <w:b/>
        </w:rPr>
        <w:t>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and 3–8 nm radius; extrapolation beyond these ranges is not certified. The package includes a dual-engine browser simulator that can switch between the operator and an in-browser SG/FV solve.</w:t>
      </w:r>
    </w:p>
    <w:p>
      <w:r>
        <w:rPr>
          <w:b/>
        </w:rPr>
        <w:t>Running time:</w:t>
      </w:r>
      <w:r>
        <w:t xml:space="preserve"> Dataset generation 59.2 s; DeepONet training 50.6 s for 500 epochs; FNO training 108.5 s for 110 epochs; single-state inference 0.072 ms (DeepONet) and 1.04 ms (FNO) on an Apple M1 CPU. The Stage-10 studies add 29.6 s to generate the 144-state expansion, 50 s per 500-epoch trunk-ablation model, and 25 s per 250-epoch scaling model. The Stage-11 constraint benchmark (four schemes, three seeds), exact SG/FV Jacobian validation (1200 reference solves), and Stage-12 diagnostics add about four minutes on one CPU.</w:t>
      </w:r>
    </w:p>
    <w:p>
      <w:pPr>
        <w:pStyle w:val="Heading2"/>
      </w:pPr>
      <w:r>
        <w:t>1. Introduction</w:t>
      </w:r>
    </w:p>
    <w:p>
      <w:r>
        <w:t>Estimating the surface charge and geometry of a nanopore from its ionic conductance is a central inverse problem in nanofluidic sensing, yet the measurement is fast while the physics that connects it to the parameters is slow to evaluate and ambiguous to invert. Nanopores and nanofluidic channels convert molecular-scale charge and geometry into measurable ionic currents, and they underpin single-molecule sensing and sequencing [1–6]. In confined geometries the electrical double layer (EDL) can overlap, so ion transport departs from bulk conductance [7–11]. Surface charge, salt concentration, pore radius, and applied voltage jointly set selectivity and rectification [12–16], and the PNP system remains the standard continuum description of these effects [17–19]. EDL overlap, charge regulation, and electrokinetic dispersion further modify conduction in narrow pores [20–23], and the same physics underlies emerging iontronic and nanofluidic devices [24, 25].</w:t>
      </w:r>
    </w:p>
    <w:p>
      <w:r>
        <w:t>Estimating surface charge and pore geometry from a current–voltage curve is therefore a long-standing inverse problem [7–16]. Conductance convolves the geometric access resistance with the Donnan enrichment or depletion of ions at the charged wall, so a change in wall charge can mimic a change in radius [12–16, 20–23]. Rectification in asymmetric or conical pores adds a second charge-sensitive signature, but it also mixes charge with geometry [14, 15]. Separating the two from conductance alone remains an open experimental and theoretical challenge, and the usual remedy—fitting many curves with repeated PNP solves—is slow and statistically opaque. Three concrete uses follow for a fast, validated operator: pre-experiment protocol design, in which bias and salinity combinations are chosen to maximize the Fisher information for the parameters of interest; rapid design sweeps of radius, charge, and operating point; and real-time digital-twin calibration, in which millisecond operator evaluations are compared continuously with a measured current. Each use requires not only speed but a calibrated statement of what the measurement can resolve.</w:t>
      </w:r>
    </w:p>
    <w:p>
      <w:r>
        <w:t>Numerical solution of PNP is well understood. Scharfetter–Gummel (SG) discretizations, introduced for semiconductor carrier transport [26], and conservative finite-volume formulations [27] provide stable, accurate currents on moderate grids.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Physics-informed neural networks (PINNs) [28–31] remove the need for labeled data but are typically trained for one parameter set at a time, and they are sensitive to gradient-flow pathologies and failure modes [32, 33]. Hard-constraint formulations improve conditioning and enforce boundary data exactly [34–40], and extended or domain-decomposed variants enlarge the admissible geometry [33, 41]. For PNP specifically, enriched and physics-informed variants have been reported [42, 43], operator variants such as CF-DeepONet and T-phPINN have been applied to adjacent transport problems [44, 45], and physics-informed surrogates have been used for battery-health prediction [46]. A previously reported fixed-state discontinuous-Galerkin DA-PINN for nanopore transport (COMPHY-D-26-00857)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[47], with error estimates in infinite dimensions [48], physics-informed DeepONet formulations [49], and several recent architectural and training variants [50–53]. Fourier neural operators (FNOs) learn global convolutions in a spectral basis [54, 55] and have been extended to parametric and physics-informed settings [56–60]. Neural Green's operators offer another route to parametric PDE solution [59].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makes two contributions. First, we deliver PINO-Nanopore, a validated computational-physics software instrument: a verified 240-state four-dimensional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an exact-reservoir charge-balanced parameterization (charge identity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two parameter-conditioned backbones (multi-scale radial PI-DeepONet, 36,880 parameters; real-DFT FNO, 460,488 parameters) trained with three seeds each, and a browser and Gradio deployment with 0.072 ms ONNX inference. A controlled four-way benchmark shows that the accuracy gain comes from decoupling the </w:t>
      </w:r>
      <m:oMath xmlns:a="http://schemas.openxmlformats.org/drawingml/2006/main" xmlns:pic="http://schemas.openxmlformats.org/drawingml/2006/picture">
        <m:r>
          <m:t>O</m:t>
        </m:r>
        <m:r>
          <m:rPr>
            <m:sty m:val="p"/>
          </m:rPr>
          <m:t>(</m:t>
        </m:r>
        <m:r>
          <m:t>1</m:t>
        </m:r>
        <m:r>
          <m:rPr>
            <m:sty m:val="p"/>
          </m:rPr>
          <m:t>)</m:t>
        </m:r>
      </m:oMath>
      <w:r>
        <w:t xml:space="preserve"> salt sum from the small net-charge difference, a mechanism that the hyperbolic map and the linear projection share (</w:t>
      </w:r>
      <m:oMath xmlns:a="http://schemas.openxmlformats.org/drawingml/2006/main" xmlns:pic="http://schemas.openxmlformats.org/drawingml/2006/picture">
        <m:r>
          <m:t>0.207</m:t>
        </m:r>
        <m:r>
          <m:rPr>
            <m:sty m:val="p"/>
          </m:rPr>
          <m:t>±</m:t>
        </m:r>
        <m:r>
          <m:t>0.015</m:t>
        </m:r>
      </m:oMath>
      <w:r>
        <w:t xml:space="preserve"> versus </w:t>
      </w:r>
      <m:oMath xmlns:a="http://schemas.openxmlformats.org/drawingml/2006/main" xmlns:pic="http://schemas.openxmlformats.org/drawingml/2006/picture">
        <m:r>
          <m:t>0.201</m:t>
        </m:r>
        <m:r>
          <m:rPr>
            <m:sty m:val="p"/>
          </m:rPr>
          <m:t>±</m:t>
        </m:r>
        <m:r>
          <m:t>0.021</m:t>
        </m:r>
      </m:oMath>
      <w:r>
        <w:t xml:space="preserve"> interpolation-test net-charge error), and that the hyperbolic map is preferred because it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charge identity without a Softplus clipping bias; the physics weight is set at its Pareto value </w:t>
      </w:r>
      <m:oMath xmlns:a="http://schemas.openxmlformats.org/drawingml/2006/main" xmlns:pic="http://schemas.openxmlformats.org/drawingml/2006/picture">
        <m:sSup>
          <m:e>
            <m:r>
              <m:t>10</m:t>
            </m:r>
          </m:e>
          <m:sup>
            <m:r>
              <m:rPr>
                <m:sty m:val="p"/>
              </m:rPr>
              <m:t>−</m:t>
            </m:r>
            <m:r>
              <m:t>3</m:t>
            </m:r>
          </m:sup>
        </m:sSup>
      </m:oMath>
      <w:r>
        <w:t xml:space="preserve">. A trunk ablation and a nested 384-state study bound the design: the radial basis lowers the wall-gradient error by about 7% without a bulk-accuracy advantage, in-distribution error scales as </w:t>
      </w:r>
      <m:oMath xmlns:a="http://schemas.openxmlformats.org/drawingml/2006/main" xmlns:pic="http://schemas.openxmlformats.org/drawingml/2006/picture">
        <m:sSup>
          <m:e>
            <m:r>
              <m:t>N</m:t>
            </m:r>
          </m:e>
          <m:sup>
            <m:r>
              <m:rPr>
                <m:sty m:val="p"/>
              </m:rPr>
              <m:t>−</m:t>
            </m:r>
            <m:r>
              <m:t>0.55</m:t>
            </m:r>
          </m:sup>
        </m:sSup>
      </m:oMath>
      <w:r>
        <w:t xml:space="preserve">, and out-of-distribution error is nearly data-insensitive (exponent 0.13). Second, we use the operator to resolve the identifiability question that motivated it. Its conductance sensitivities agree with exact float64 SG/FV finite-difference Jacobians to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the exact Fisher matrix confirms that fixed wall charge is a near-null direction at every operating point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that single- and multi-salt current–voltage protocols leave it unidentifiable at 1% noise, and that a near-wall Donnan selectivity observable collapses the conditioning by ten orders of magnitude and recovers radius and charge below 0.3%. Finally, a spatial and parametric decomposition of the out-of-distribution error shows that the residual error is largest per unit reference in the wall EDL and at the reservoir transitions, yet it cancels in the cross-sectionally integrated current, which stays below 0.23%.</w:t>
      </w:r>
    </w:p>
    <w:p>
      <w:r>
        <w:t>The remainder of the paper describes the model and reference solver (Section 2), reports accuracy, ablation, timing, deployment, and inversion results (Section 3), and discusses scope and limitations (Section 4).</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in-distribution training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28</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uses a node-centered axisymmetric finite-volume discretization with Scharfetter–Gummel face fluxes for the Nernst–Planck currents and a conservative Poisson update [26, 27].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r>
          <m:rPr>
            <m:sty m:val="p"/>
          </m:rPr>
          <m:t>[</m:t>
        </m:r>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r>
          <m:rPr>
            <m:sty m:val="p"/>
          </m:rPr>
          <m:t>]</m:t>
        </m:r>
        <m:r>
          <m:rPr>
            <m:sty m:val="p"/>
          </m:rPr>
          <m:t>/</m:t>
        </m:r>
        <m:r>
          <m:rPr>
            <m:sty m:val="p"/>
          </m:rPr>
          <m:t>Δ</m:t>
        </m:r>
        <m:r>
          <m:t>z</m:t>
        </m:r>
      </m:oMath>
      <w:r>
        <w:t>, with the radial expression analogous; the Poisson update uses the conservative five-point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The exact split composition, sampled ranges, and per-split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Exact-reservoir and charge-balanced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w:t>
      </w:r>
      <m:oMath xmlns:a="http://schemas.openxmlformats.org/drawingml/2006/main" xmlns:pic="http://schemas.openxmlformats.org/drawingml/2006/picture">
        <m:r>
          <m:rPr>
            <m:sty m:val="p"/>
          </m:rPr>
          <m:t>[</m:t>
        </m:r>
        <m:r>
          <m:rPr>
            <m:sty m:val="p"/>
          </m:rPr>
          <m:t>−</m:t>
        </m:r>
        <m:r>
          <m:t>15</m:t>
        </m:r>
        <m:r>
          <m:rPr>
            <m:sty m:val="p"/>
          </m:rPr>
          <m:t>,</m:t>
        </m:r>
        <m:r>
          <m:t>15</m:t>
        </m:r>
        <m:r>
          <m:rPr>
            <m:sty m:val="p"/>
          </m:rPr>
          <m:t>]</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identity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holds exactly. In the implementation the residual of this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construction should be distinguished from soft penalty-based constraint enforcement [34–40].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exact-boundary and charge-balanced reconstruction. The model has </w:t>
      </w:r>
      <m:oMath xmlns:a="http://schemas.openxmlformats.org/drawingml/2006/main" xmlns:pic="http://schemas.openxmlformats.org/drawingml/2006/picture">
        <m:r>
          <m:t>p</m:t>
        </m:r>
        <m:r>
          <m:rPr>
            <m:sty m:val="p"/>
          </m:rPr>
          <m:t>=</m:t>
        </m:r>
        <m:r>
          <m:t>64</m:t>
        </m:r>
      </m:oMath>
      <w:r>
        <w:t xml:space="preserve"> and 36,880 trainable parameters. The radial basis is a design choice rather than a requirement: Section 3.3 and Supplementary Table S3 compare it against a plain MLP trunk and single-scale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Parameter-conditioned two-dimensional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300-epoch FNO is trained to test whether the 110-epoch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and spreads are reported as standard deviations in Supplementary Table S5 and in the per-state error distributions presented in Section 3.4. Extended accuracy metrics and residual diagnostics are collected in Supplementary Table S6. The manuscript reports 3–4 significant figures in the narrative and in the supplementary tables; full machine-precision values are archived in </w:t>
      </w:r>
      <w:r>
        <w:rPr>
          <w:rFonts w:ascii="Consolas" w:hAnsi="Consolas"/>
          <w:sz w:val="19"/>
        </w:rPr>
        <w:t>results/statistics.json</w:t>
      </w:r>
      <w:r>
        <w:t xml:space="preserve"> and </w:t>
      </w:r>
      <w:r>
        <w:rPr>
          <w:rFonts w:ascii="Consolas" w:hAnsi="Consolas"/>
          <w:sz w:val="19"/>
        </w:rPr>
        <w:t>results/tables/*.csv</w:t>
      </w:r>
      <w:r>
        <w:t>, and the complete tabulated breakdowns appear in Supplementary Tables S1, S2, S4–S14. Supplementary Table S14 cross-references every figure, supplementary table, and archived artifact to its source file.</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in-browser SG/FV solve and (ii) in a Gradio application with operator-versus-reference comparison. Supplementary Table S13 lists the deployment and parity checks, including the browser-bundle size, the JavaScript-versus-reference agreement, and the DOM test results.</w:t>
      </w:r>
    </w:p>
    <w:p>
      <w:r>
        <w:t xml:space="preserve">For the inverse demonstration, five held-out interpolation states are selected to span the charge and radius ranges. At each state, a five-bias current–voltage curve is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and 1% Gaussian noise is added. The operator then evaluates 400 candidate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pairs at the same five biases (2000 forward evaluations) and refines the best candidates with Nelder–Mead. Radius, surface charge density, and their relative errors are recorded. The flat direction of the objective in </w:t>
      </w:r>
      <m:oMath xmlns:a="http://schemas.openxmlformats.org/drawingml/2006/main" xmlns:pic="http://schemas.openxmlformats.org/drawingml/2006/picture">
        <m:sSub>
          <m:e>
            <m:r>
              <m:t>q</m:t>
            </m:r>
          </m:e>
          <m:sub>
            <m:r>
              <m:t>w</m:t>
            </m:r>
          </m:sub>
        </m:sSub>
      </m:oMath>
      <w:r>
        <w:t xml:space="preserve"> is quantified by profiling the current mismatch over the full charge prior at the recovered radius. The 1% noise level is a deliberately conservative proxy for a clean nanopore measurement, and the grid search, rather than the local Nelder–Mead refinement, determines the reported flat direction. The identifiability conclusion is expected to weaken for asymmetric electrolytes, unequal diffusivities, or a much wider charge range; these cases are not covered by the present benchmark.</w:t>
      </w:r>
    </w:p>
    <w:p>
      <w:r>
        <w:t xml:space="preserve">To separate a measurement limitation from a surrogate limitation, the inverse study is repeated as a controlled identifiability experiment over 15 held-out states and three measurement protocols. Protocol 1 (single-salt) uses one bulk concentration; Protocol 2 (multi-salt)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to probe the EDL-overlap regime; Protocol 3 (dual) adds a near-wall Donnan selectivity observable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oMath>
      <w:r>
        <w:t xml:space="preserve"> evaluated at </w:t>
      </w:r>
      <m:oMath xmlns:a="http://schemas.openxmlformats.org/drawingml/2006/main" xmlns:pic="http://schemas.openxmlformats.org/drawingml/2006/picture">
        <m:r>
          <m:t>r</m:t>
        </m:r>
        <m:r>
          <m:rPr>
            <m:sty m:val="p"/>
          </m:rPr>
          <m:t>=</m:t>
        </m:r>
        <m:r>
          <m:t>1</m:t>
        </m:r>
      </m:oMath>
      <w:r>
        <w:t xml:space="preserve"> to the multi-salt current–voltage data. For each protocol and each relative noise level (0.2%, 1%, 2%) the operator inverts a </w:t>
      </w:r>
      <m:oMath xmlns:a="http://schemas.openxmlformats.org/drawingml/2006/main" xmlns:pic="http://schemas.openxmlformats.org/drawingml/2006/picture">
        <m:r>
          <m:t>30</m:t>
        </m:r>
        <m:r>
          <m:rPr>
            <m:sty m:val="p"/>
          </m:rPr>
          <m:t>×</m:t>
        </m:r>
        <m:r>
          <m:t>30</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Nelder–Mead refinement, and the median relative errors over the 15 states are reported. In parallel, a </w:t>
      </w:r>
      <m:oMath xmlns:a="http://schemas.openxmlformats.org/drawingml/2006/main" xmlns:pic="http://schemas.openxmlformats.org/drawingml/2006/picture">
        <m:r>
          <m:t>18</m:t>
        </m:r>
        <m:r>
          <m:rPr>
            <m:sty m:val="p"/>
          </m:rPr>
          <m:t>×</m:t>
        </m:r>
        <m:r>
          <m:t>18</m:t>
        </m:r>
      </m:oMath>
      <w:r>
        <w:t xml:space="preserve"> Fisher-information sweep over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at </w:t>
      </w:r>
      <m:oMath xmlns:a="http://schemas.openxmlformats.org/drawingml/2006/main" xmlns:pic="http://schemas.openxmlformats.org/drawingml/2006/picture">
        <m:r>
          <m:t>R</m:t>
        </m:r>
        <m:r>
          <m:rPr>
            <m:sty m:val="p"/>
          </m:rPr>
          <m:t>=</m:t>
        </m:r>
        <m:r>
          <m:t>5</m:t>
        </m:r>
      </m:oMath>
      <w:r>
        <w:t xml:space="preserve"> nm computes the dimensionless sensitivity Jacobian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sSub>
          <m:e>
            <m:r>
              <m:t>q</m:t>
            </m:r>
          </m:e>
          <m:sub>
            <m:r>
              <m:t>w</m:t>
            </m:r>
          </m:sub>
        </m:sSub>
        <m:r>
          <m:rPr>
            <m:sty m:val="p"/>
          </m:rPr>
          <m:t>)</m:t>
        </m:r>
      </m:oMath>
      <w:r>
        <w:t xml:space="preserve"> and the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the non-zero bias points are used because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carries no current information. The results are reported in Section 3.9 and Supplementary Table S15, and visualized in the identifiability and inverse-recovery panels of Figures 3 and 6.</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935073"/>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935073"/>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interpolation-test states, and 48 out-of-distribution states. (C) Hard constraints imposed by the ansatz: exact reservoir potential and concentration values, zero wall ion flux, wall charge condition, and positive concentrations. (D) The two parameter-conditioned backbones: a DeepONet with a multi-scale radial trunk and a 2D Fourier neural operator, both trained with the same data and physics objective.</w:t>
      </w:r>
    </w:p>
    <w:p>
      <w:pPr>
        <w:pStyle w:val="Heading3"/>
      </w:pPr>
      <w:r>
        <w:t>3.2 Benchmark state versus a fixed-state DA-PINN</w:t>
      </w:r>
    </w:p>
    <w:p>
      <w:r>
        <w:t xml:space="preserve">Supplementary Table S7 compares the operators with the previously reported fixed-state discontinuous-Galerkin DA-PINN (COMPHY-D-26-00857) on the benchmark state. The DeepONet reaches potential and current relative </w:t>
      </w:r>
      <m:oMath xmlns:a="http://schemas.openxmlformats.org/drawingml/2006/main" xmlns:pic="http://schemas.openxmlformats.org/drawingml/2006/picture">
        <m:sSub>
          <m:e>
            <m:r>
              <m:t>L</m:t>
            </m:r>
          </m:e>
          <m:sub>
            <m:r>
              <m:t>2</m:t>
            </m:r>
          </m:sub>
        </m:sSub>
      </m:oMath>
      <w:r>
        <w:t xml:space="preserve"> errors of 0.0001485 and 0.0005587, versus 0.000382 and 0.00102 for the DA-PINN, i.e., 2.57-fold and 1.83-fold better while never having seen the state; its net-charge error is 0.09363 versus 0.145. This is an accuracy-per-training-cost comparison, not a claim of superiority: the DA-PINN was trained on that state, whereas the operator amortizes training over the whole parameter family and reduces the marginal cost of the next state from roughly 500 s of retraining to 0.072 ms of inference. The comparison also has a validation role. At the 15 inversion operating points and three salt concentrations, the operator reproduces the exact SG/FV near-wall Donnan selectivity </w:t>
      </w:r>
      <m:oMath xmlns:a="http://schemas.openxmlformats.org/drawingml/2006/main" xmlns:pic="http://schemas.openxmlformats.org/drawingml/2006/picture">
        <m:r>
          <m:t>S</m:t>
        </m:r>
      </m:oMath>
      <w:r>
        <w:t xml:space="preserve"> with a median absolute error of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(1.9% relative, rising only where </w:t>
      </w:r>
      <m:oMath xmlns:a="http://schemas.openxmlformats.org/drawingml/2006/main" xmlns:pic="http://schemas.openxmlformats.org/drawingml/2006/picture">
        <m:r>
          <m:rPr>
            <m:sty m:val="p"/>
          </m:rPr>
          <m:t>|</m:t>
        </m:r>
        <m:r>
          <m:t>S</m:t>
        </m:r>
        <m:r>
          <m:rPr>
            <m:sty m:val="p"/>
          </m:rPr>
          <m:t>|</m:t>
        </m:r>
        <m:r>
          <m:rPr>
            <m:sty m:val="p"/>
          </m:rPr>
          <m:t>→</m:t>
        </m:r>
        <m:r>
          <m:t>0</m:t>
        </m:r>
      </m:oMath>
      <w:r>
        <w:t xml:space="preserve">), the wall concentrations </w:t>
      </w:r>
      <m:oMath xmlns:a="http://schemas.openxmlformats.org/drawingml/2006/main" xmlns:pic="http://schemas.openxmlformats.org/drawingml/2006/picture">
        <m:sSub>
          <m:e>
            <m:r>
              <m:t>c</m:t>
            </m:r>
          </m:e>
          <m:sub>
            <m:r>
              <m:rPr>
                <m:sty m:val="p"/>
              </m:rPr>
              <m:t>±</m:t>
            </m:r>
            <m:r>
              <m:rPr>
                <m:sty m:val="p"/>
              </m:rPr>
              <m:t>,</m:t>
            </m:r>
            <m:r>
              <m:t>θ</m:t>
            </m:r>
          </m:sub>
        </m:sSub>
        <m:sSub>
          <m:e>
            <m:r>
              <m:rPr>
                <m:sty m:val="p"/>
              </m:rPr>
              <m:t>|</m:t>
            </m:r>
          </m:e>
          <m:sub>
            <m:r>
              <m:t>r</m:t>
            </m:r>
            <m:r>
              <m:rPr>
                <m:sty m:val="p"/>
              </m:rPr>
              <m:t>=</m:t>
            </m:r>
            <m:r>
              <m:t>1</m:t>
            </m:r>
          </m:sub>
        </m:sSub>
      </m:oMath>
      <w:r>
        <w:t xml:space="preserve"> to 0.02–0.03% (1.1% worst case), and the full </w:t>
      </w:r>
      <m:oMath xmlns:a="http://schemas.openxmlformats.org/drawingml/2006/main" xmlns:pic="http://schemas.openxmlformats.org/drawingml/2006/picture">
        <m:sSub>
          <m:e>
            <m:r>
              <m:t>c</m:t>
            </m:r>
          </m:e>
          <m:sub>
            <m:r>
              <m:rPr>
                <m:sty m:val="p"/>
              </m:rPr>
              <m:t>±</m:t>
            </m:r>
          </m:sub>
        </m:sSub>
      </m:oMath>
      <w:r>
        <w:t xml:space="preserve"> fields to better than 0.2% relative </w:t>
      </w:r>
      <m:oMath xmlns:a="http://schemas.openxmlformats.org/drawingml/2006/main" xmlns:pic="http://schemas.openxmlformats.org/drawingml/2006/picture">
        <m:sSub>
          <m:e>
            <m:r>
              <m:t>L</m:t>
            </m:r>
          </m:e>
          <m:sub>
            <m:r>
              <m:t>2</m:t>
            </m:r>
          </m:sub>
        </m:sSub>
      </m:oMath>
      <w:r>
        <w:t xml:space="preserve">; the log-sensitivity </w:t>
      </w:r>
      <m:oMath xmlns:a="http://schemas.openxmlformats.org/drawingml/2006/main" xmlns:pic="http://schemas.openxmlformats.org/drawingml/2006/picture">
        <m:r>
          <m:rPr>
            <m:sty m:val="p"/>
          </m:rPr>
          <m:t>∂</m:t>
        </m:r>
        <m:r>
          <m:t>S</m:t>
        </m:r>
        <m:r>
          <m:rPr>
            <m:sty m:val="p"/>
          </m:rPr>
          <m:t>/</m:t>
        </m:r>
        <m:r>
          <m:rPr>
            <m:sty m:val="p"/>
          </m:rPr>
          <m:t>∂</m:t>
        </m:r>
        <m:r>
          <m:rPr>
            <m:sty m:val="p"/>
          </m:rPr>
          <m:t>ln</m:t>
        </m:r>
        <m:r>
          <m:rPr>
            <m:sty m:val="p"/>
          </m:rPr>
          <m:t>|</m:t>
        </m:r>
        <m:sSub>
          <m:e>
            <m:r>
              <m:t>q</m:t>
            </m:r>
          </m:e>
          <m:sub>
            <m:r>
              <m:t>w</m:t>
            </m:r>
          </m:sub>
        </m:sSub>
        <m:r>
          <m:rPr>
            <m:sty m:val="p"/>
          </m:rPr>
          <m:t>|</m:t>
        </m:r>
      </m:oMath>
      <w:r>
        <w:t xml:space="preserve"> agrees to 3%. These numbers validate the concentration field used in the identifiability analysis rather than only the current.</w:t>
      </w:r>
    </w:p>
    <w:p>
      <w:r>
        <w:t xml:space="preserve">Figure 2 resolves this single out-of-sample operating point panel by panel. Figure 2A shows the predicted potential </w:t>
      </w:r>
      <m:oMath xmlns:a="http://schemas.openxmlformats.org/drawingml/2006/main" xmlns:pic="http://schemas.openxmlformats.org/drawingml/2006/picture">
        <m:sSub>
          <m:e>
            <m:r>
              <m:t>ψ</m:t>
            </m:r>
          </m:e>
          <m:sub>
            <m:r>
              <m:t>θ</m:t>
            </m:r>
          </m:sub>
        </m:sSub>
      </m:oMath>
      <w:r>
        <w:t xml:space="preserve"> and Figure 2B the predicted cation concentration </w:t>
      </w:r>
      <m:oMath xmlns:a="http://schemas.openxmlformats.org/drawingml/2006/main" xmlns:pic="http://schemas.openxmlformats.org/drawingml/2006/picture">
        <m:sSubSup>
          <m:e>
            <m:r>
              <m:t>c</m:t>
            </m:r>
          </m:e>
          <m:sub>
            <m:r>
              <m:rPr>
                <m:sty m:val="p"/>
              </m:rPr>
              <m:t>+</m:t>
            </m:r>
          </m:sub>
          <m:sup>
            <m:r>
              <m:t>θ</m:t>
            </m:r>
          </m:sup>
        </m:sSubSup>
      </m:oMath>
      <w:r>
        <w:t xml:space="preserve">; both are smooth and symmetric about the pore axis, with the potential dropping along the axis and the cation layer accumulating against the negatively charged wall. Figure 2C shows the resulting net charge </w:t>
      </w:r>
      <m:oMath xmlns:a="http://schemas.openxmlformats.org/drawingml/2006/main" xmlns:pic="http://schemas.openxmlformats.org/drawingml/2006/picture">
        <m:sSub>
          <m:e>
            <m:r>
              <m:t>ρ</m:t>
            </m:r>
          </m:e>
          <m:sub>
            <m:r>
              <m:t>θ</m:t>
            </m:r>
          </m:sub>
        </m:sSub>
      </m:oMath>
      <w:r>
        <w:t>, which is depleted in the pore core and enriched in the thin wall layer. Figure 2D and Figure 2E map the absolute error in potential and net charge against the SG/FV reference; both errors remain localized to the reservoir transitions and the wall layer rather than accumulating in the interior. Figure 2F plots the axial current profile for the reference, the DeepONet, the FNO, and the prior fixed-state DA-PINN, and the DeepONet curve follows the reference to within the line width over most of the pore, with the largest deviations near the reservoir transitions, consistent with the error maps. The full numerical comparison underlying these panels is collected in Supplementary Table S7.</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held-out interpolation-test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fixed-state DA-PINN (band shows its reported error). All fields are normalized by their reference scales and plotted on the physical grid.</w:t>
      </w:r>
    </w:p>
    <w:p>
      <w:pPr>
        <w:pStyle w:val="Heading3"/>
      </w:pPr>
      <w:r>
        <w:t>3.3 In-distribution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The mean absolute current error is 0.08031 pA. The FNO attains 0.005495, 0.001641, 0.0931, and 0.008511, respectively, with a mean absolute current error of 0.6746 pA. The DeepONet is therefore 6.16-fold more accurate for potential, 2.26-fold for cation concentration, 1.13-fold for net charge, and 7.79-fold for current.</w:t>
      </w:r>
    </w:p>
    <w:p>
      <w:r>
        <w:t xml:space="preserve">The net-charge metric is the most sensitive to the output parameterization. With direct concentration outputs, the interp-test net-charge error rises to 0.7116 for the DeepONet and 0.9578 for the FNO; the charge-balanced parameterization reduces these to 0.08248 and 0.0931, i.e., by 8.63-fold and 10.29-fold. This is the cancellation mechanism: when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small relative errors in each field produce a large relative error in their difference, especially in the weakly charged states where </w:t>
      </w:r>
      <m:oMath xmlns:a="http://schemas.openxmlformats.org/drawingml/2006/main" xmlns:pic="http://schemas.openxmlformats.org/drawingml/2006/picture">
        <m:r>
          <m:t>ρ</m:t>
        </m:r>
      </m:oMath>
      <w:r>
        <w:t xml:space="preserve"> is small.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reconstructing </w:t>
      </w:r>
      <m:oMath xmlns:a="http://schemas.openxmlformats.org/drawingml/2006/main" xmlns:pic="http://schemas.openxmlformats.org/drawingml/2006/picture">
        <m:sSub>
          <m:e>
            <m:r>
              <m:t>c</m:t>
            </m:r>
          </m:e>
          <m:sub>
            <m:r>
              <m:rPr>
                <m:sty m:val="p"/>
              </m:rPr>
              <m:t>±</m:t>
            </m:r>
          </m:sub>
        </m:sSub>
      </m:oMath>
      <w:r>
        <w:t xml:space="preserve"> removes that cancellation. The four-way benchmark in Figure 3A shows that this decoupling, shared by the algebraic projection and the hyperbolic map, is the dominant methodological driver: both reduce the error about 4.5-fold relative to direct outputs, and their mutual difference (0.201 versus 0.207) is within seed noise. Figure 3 makes the mechanism concrete. Figure 3A compares four constraint schemes trained on the identical PI-DeepONet backbone with three seeds: direct concentration outputs, a soft charge penalty (ten times a mean-squared charge mismatch), a linear orthogonal projection with a Softplus positivity map, and the hyperbolic reparameterization used here (Supplementary Table S16). The reparameterization and the linear projection are statistically indistinguishable in accuracy (interp-test net-charge error </w:t>
      </w:r>
      <m:oMath xmlns:a="http://schemas.openxmlformats.org/drawingml/2006/main" xmlns:pic="http://schemas.openxmlformats.org/drawingml/2006/picture">
        <m:r>
          <m:t>0.207</m:t>
        </m:r>
        <m:r>
          <m:rPr>
            <m:sty m:val="p"/>
          </m:rPr>
          <m:t>±</m:t>
        </m:r>
        <m:r>
          <m:t>0.015</m:t>
        </m:r>
      </m:oMath>
      <w:r>
        <w:t xml:space="preserve"> versus </w:t>
      </w:r>
      <m:oMath xmlns:a="http://schemas.openxmlformats.org/drawingml/2006/main" xmlns:pic="http://schemas.openxmlformats.org/drawingml/2006/picture">
        <m:r>
          <m:t>0.201</m:t>
        </m:r>
        <m:r>
          <m:rPr>
            <m:sty m:val="p"/>
          </m:rPr>
          <m:t>±</m:t>
        </m:r>
        <m:r>
          <m:t>0.021</m:t>
        </m:r>
      </m:oMath>
      <w:r>
        <w:t>; OOD 0.258 versus 0.260), and both reduce the error about 4.5-fold relative to direct outputs (</w:t>
      </w:r>
      <m:oMath xmlns:a="http://schemas.openxmlformats.org/drawingml/2006/main" xmlns:pic="http://schemas.openxmlformats.org/drawingml/2006/picture">
        <m:r>
          <m:t>0.933</m:t>
        </m:r>
        <m:r>
          <m:rPr>
            <m:sty m:val="p"/>
          </m:rPr>
          <m:t>±</m:t>
        </m:r>
        <m:r>
          <m:t>0.008</m:t>
        </m:r>
      </m:oMath>
      <w:r>
        <w:t>). The soft penalty improves on direct outputs (</w:t>
      </w:r>
      <m:oMath xmlns:a="http://schemas.openxmlformats.org/drawingml/2006/main" xmlns:pic="http://schemas.openxmlformats.org/drawingml/2006/picture">
        <m:r>
          <m:t>0.411</m:t>
        </m:r>
        <m:r>
          <m:rPr>
            <m:sty m:val="p"/>
          </m:rPr>
          <m:t>±</m:t>
        </m:r>
        <m:r>
          <m:t>0.187</m:t>
        </m:r>
      </m:oMath>
      <w:r>
        <w:t xml:space="preserve">) but is unstable across seeds. Because the two accurate schemes are statistically indistinguishable, the choice is made on structural grounds. The linear projection with Softplus clipping leaves a charge-identity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xml:space="preserve"> at these mild states, and its raw reconstruction </w:t>
      </w:r>
      <m:oMath xmlns:a="http://schemas.openxmlformats.org/drawingml/2006/main" xmlns:pic="http://schemas.openxmlformats.org/drawingml/2006/picture">
        <m:f>
          <m:fPr>
            <m:type m:val="lin"/>
          </m:fPr>
          <m:num>
            <m:r>
              <m:t>1</m:t>
            </m:r>
          </m:num>
          <m:den>
            <m:r>
              <m:t>2</m:t>
            </m:r>
          </m:den>
        </m:f>
        <m:r>
          <m:rPr>
            <m:sty m:val="p"/>
          </m:rPr>
          <m:t>(</m:t>
        </m:r>
        <m:r>
          <m:rPr>
            <m:sty m:val="p"/>
          </m:rPr>
          <m:t>Σ</m:t>
        </m:r>
        <m:r>
          <m:t>c</m:t>
        </m:r>
        <m:r>
          <m:rPr>
            <m:sty m:val="p"/>
          </m:rPr>
          <m:t>−</m:t>
        </m:r>
        <m:r>
          <m:rPr>
            <m:sty m:val="p"/>
          </m:rPr>
          <m:t>|</m:t>
        </m:r>
        <m:r>
          <m:t>ρ</m:t>
        </m:r>
        <m:r>
          <m:rPr>
            <m:sty m:val="p"/>
          </m:rPr>
          <m:t>|</m:t>
        </m:r>
        <m:r>
          <m:rPr>
            <m:sty m:val="p"/>
          </m:rPr>
          <m:t>)</m:t>
        </m:r>
      </m:oMath>
      <w:r>
        <w:t xml:space="preserve"> can become negative when co-ion exclusion is strong: on a physical latent grid 22% of points would be clipped, and the Softplus temperature introduces a bias </w:t>
      </w:r>
      <m:oMath xmlns:a="http://schemas.openxmlformats.org/drawingml/2006/main" xmlns:pic="http://schemas.openxmlformats.org/drawingml/2006/picture">
        <m:r>
          <m:t>O</m:t>
        </m:r>
        <m:r>
          <m:rPr>
            <m:sty m:val="p"/>
          </m:rPr>
          <m:t>(</m:t>
        </m:r>
        <m:sSup>
          <m:e>
            <m:r>
              <m:t>β</m:t>
            </m:r>
          </m:e>
          <m:sup>
            <m:r>
              <m:rPr>
                <m:sty m:val="p"/>
              </m:rPr>
              <m:t>−</m:t>
            </m:r>
            <m:r>
              <m:t>1</m:t>
            </m:r>
          </m:sup>
        </m:sSup>
        <m:r>
          <m:rPr>
            <m:sty m:val="p"/>
          </m:rPr>
          <m:t>ln</m:t>
        </m:r>
        <m:r>
          <m:t>2</m:t>
        </m:r>
        <m:r>
          <m:rPr>
            <m:sty m:val="p"/>
          </m:rPr>
          <m:t>)</m:t>
        </m:r>
        <m:r>
          <m:rPr>
            <m:sty m:val="p"/>
          </m:rPr>
          <m:t>=</m:t>
        </m:r>
        <m:r>
          <m:t>0.035</m:t>
        </m:r>
      </m:oMath>
      <w:r>
        <w:t xml:space="preserve"> near </w:t>
      </w:r>
      <m:oMath xmlns:a="http://schemas.openxmlformats.org/drawingml/2006/main" xmlns:pic="http://schemas.openxmlformats.org/drawingml/2006/picture">
        <m:sSub>
          <m:e>
            <m:r>
              <m:t>c</m:t>
            </m:r>
          </m:e>
          <m:sub>
            <m:r>
              <m:rPr>
                <m:sty m:val="p"/>
              </m:rPr>
              <m:t>−</m:t>
            </m:r>
          </m:sub>
        </m:sSub>
        <m:r>
          <m:rPr>
            <m:sty m:val="p"/>
          </m:rPr>
          <m:t>→</m:t>
        </m:r>
        <m:r>
          <m:t>0</m:t>
        </m:r>
      </m:oMath>
      <w:r>
        <w:t xml:space="preserve"> that also corrupts second derivatives in the residual. The hyperbolic reconstruction is parameter-free,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and guarantees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rPr>
            <m:sty m:val="p"/>
          </m:rPr>
          <m:t>(</m:t>
        </m:r>
        <m:r>
          <m:t>s</m:t>
        </m:r>
        <m:r>
          <m:rPr>
            <m:sty m:val="p"/>
          </m:rPr>
          <m:t>/</m:t>
        </m:r>
        <m:r>
          <m:t>2</m:t>
        </m:r>
        <m:sSup>
          <m:e>
            <m:r>
              <m:rPr>
                <m:sty m:val="p"/>
              </m:rPr>
              <m:t>)</m:t>
            </m:r>
          </m:e>
          <m:sup>
            <m:r>
              <m:t>2</m:t>
            </m:r>
          </m:sup>
        </m:sSup>
        <m:r>
          <m:rPr>
            <m:sty m:val="p"/>
          </m:rPr>
          <m:t>&gt;</m:t>
        </m:r>
        <m:r>
          <m:t>0</m:t>
        </m:r>
      </m:oMath>
      <w:r>
        <w:t xml:space="preserve"> everywhere at the same accuracy and wall-gradient error. Figure 3C examines the complementary physics-loss ablation discussed in Section 3.8, and Figure 3D sweeps the physics weight: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minimizes both net-charge and wall-gradient error, while larger weights monotonically reduce the interior Poisson residual but degrade field accuracy, so </w:t>
      </w:r>
      <m:oMath xmlns:a="http://schemas.openxmlformats.org/drawingml/2006/main" xmlns:pic="http://schemas.openxmlformats.org/drawingml/2006/picture">
        <m:sSup>
          <m:e>
            <m:r>
              <m:t>10</m:t>
            </m:r>
          </m:e>
          <m:sup>
            <m:r>
              <m:rPr>
                <m:sty m:val="p"/>
              </m:rPr>
              <m:t>−</m:t>
            </m:r>
            <m:r>
              <m:t>3</m:t>
            </m:r>
          </m:sup>
        </m:sSup>
      </m:oMath>
      <w:r>
        <w:t xml:space="preserve"> is the Pareto point (Supplementary Table S17).</w:t>
      </w:r>
    </w:p>
    <w:p>
      <w:r>
        <w:t xml:space="preserve">Panels E and F of Figure 3 report the two architectural and identifiability studies. Figure 3E normalizes the interp-test net-charge and wall-gradient errors of six trunk variants to the plain MLP trunk (Supplementary Table S3). The plain MLP trunk gives the lowest net-charge error (0.0914), while the radial variants do not improve it (0.098–0.116) but reduce the wall-gradient error by about 7% (radial </w:t>
      </w:r>
      <m:oMath xmlns:a="http://schemas.openxmlformats.org/drawingml/2006/main" xmlns:pic="http://schemas.openxmlformats.org/drawingml/2006/picture">
        <m:r>
          <m:t>k</m:t>
        </m:r>
        <m:r>
          <m:rPr>
            <m:sty m:val="p"/>
          </m:rPr>
          <m:t>=</m:t>
        </m:r>
        <m:r>
          <m:t>30</m:t>
        </m:r>
      </m:oMath>
      <w:r>
        <w:t xml:space="preserve">: </w:t>
      </w:r>
      <m:oMath xmlns:a="http://schemas.openxmlformats.org/drawingml/2006/main" xmlns:pic="http://schemas.openxmlformats.org/drawingml/2006/picture">
        <m:r>
          <m:t>4.83</m:t>
        </m:r>
        <m:r>
          <m:rPr>
            <m:sty m:val="p"/>
          </m:rPr>
          <m:t>×</m:t>
        </m:r>
        <m:sSup>
          <m:e>
            <m:r>
              <m:t>10</m:t>
            </m:r>
          </m:e>
          <m:sup>
            <m:r>
              <m:rPr>
                <m:sty m:val="p"/>
              </m:rPr>
              <m:t>−</m:t>
            </m:r>
            <m:r>
              <m:t>3</m:t>
            </m:r>
          </m:sup>
        </m:sSup>
      </m:oMath>
      <w:r>
        <w:t xml:space="preserve"> versus </w:t>
      </w:r>
      <m:oMath xmlns:a="http://schemas.openxmlformats.org/drawingml/2006/main" xmlns:pic="http://schemas.openxmlformats.org/drawingml/2006/picture">
        <m:r>
          <m:t>5.20</m:t>
        </m:r>
        <m:r>
          <m:rPr>
            <m:sty m:val="p"/>
          </m:rPr>
          <m:t>×</m:t>
        </m:r>
        <m:sSup>
          <m:e>
            <m:r>
              <m:t>10</m:t>
            </m:r>
          </m:e>
          <m:sup>
            <m:r>
              <m:rPr>
                <m:sty m:val="p"/>
              </m:rPr>
              <m:t>−</m:t>
            </m:r>
            <m:r>
              <m:t>3</m:t>
            </m:r>
          </m:sup>
        </m:sSup>
      </m:oMath>
      <w:r>
        <w:t xml:space="preserve">) and give the best integrated-current errors (multi-scale 0.274%, radial </w:t>
      </w:r>
      <m:oMath xmlns:a="http://schemas.openxmlformats.org/drawingml/2006/main" xmlns:pic="http://schemas.openxmlformats.org/drawingml/2006/picture">
        <m:r>
          <m:t>k</m:t>
        </m:r>
        <m:r>
          <m:rPr>
            <m:sty m:val="p"/>
          </m:rPr>
          <m:t>=</m:t>
        </m:r>
        <m:r>
          <m:t>30</m:t>
        </m:r>
      </m:oMath>
      <w:r>
        <w:t xml:space="preserve"> 0.320%, versus 0.364%). The radial basis is therefore a modest near-wall inductive bias, not a requirement. Figure 3F maps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t xml:space="preserve"> over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the dimensionless sensitivity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is 2.029 throughout (the current scales as the pore area), whereas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t xml:space="preserve"> never exceeds </w:t>
      </w:r>
      <m:oMath xmlns:a="http://schemas.openxmlformats.org/drawingml/2006/main" xmlns:pic="http://schemas.openxmlformats.org/drawingml/2006/picture">
        <m:r>
          <m:t>1.6</m:t>
        </m:r>
        <m:r>
          <m:rPr>
            <m:sty m:val="p"/>
          </m:rPr>
          <m:t>×</m:t>
        </m:r>
        <m:sSup>
          <m:e>
            <m:r>
              <m:t>10</m:t>
            </m:r>
          </m:e>
          <m:sup>
            <m:r>
              <m:rPr>
                <m:sty m:val="p"/>
              </m:rPr>
              <m:t>−</m:t>
            </m:r>
            <m:r>
              <m:t>3</m:t>
            </m:r>
          </m:sup>
        </m:sSup>
      </m:oMath>
      <w:r>
        <w:t>, so the near-null Fisher direction is the charge axis for every operating point (Supplementary Table S15). This is the geometric origin of the inverse-recovery degeneracy analyzed in Section 3.9.</w:t>
      </w:r>
    </w:p>
    <w:p>
      <w:pPr>
        <w:spacing w:before="120" w:after="40"/>
        <w:jc w:val="center"/>
      </w:pPr>
      <w:r>
        <w:drawing>
          <wp:inline xmlns:a="http://schemas.openxmlformats.org/drawingml/2006/main" xmlns:pic="http://schemas.openxmlformats.org/drawingml/2006/picture">
            <wp:extent cx="5852160" cy="2984445"/>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2984445"/>
                    </a:xfrm>
                    <a:prstGeom prst="rect"/>
                  </pic:spPr>
                </pic:pic>
              </a:graphicData>
            </a:graphic>
          </wp:inline>
        </w:drawing>
      </w:r>
    </w:p>
    <w:p>
      <w:pPr>
        <w:spacing w:after="200"/>
      </w:pPr>
      <w:r>
        <w:rPr>
          <w:b/>
          <w:sz w:val="18"/>
        </w:rPr>
        <w:t>Figure 3.</w:t>
      </w:r>
      <w:r>
        <w:rPr>
          <w:sz w:val="18"/>
        </w:rPr>
        <w:t xml:space="preserve"> Constraint-scheme benchmark, physics-weight sweep, physics-loss and trunk ablation, and Fisher conditioning. (A) Interpolation-test (solid) and OOD (hatched) net-charge relative </w:t>
      </w:r>
      <m:oMath xmlns:a="http://schemas.openxmlformats.org/drawingml/2006/main" xmlns:pic="http://schemas.openxmlformats.org/drawingml/2006/picture">
        <m:sSub>
          <m:e>
            <m:r>
              <m:t>L</m:t>
            </m:r>
          </m:e>
          <m:sub>
            <m:r>
              <m:t>2</m:t>
            </m:r>
          </m:sub>
        </m:sSub>
      </m:oMath>
      <w:r>
        <w:rPr>
          <w:sz w:val="18"/>
        </w:rPr>
        <w:t xml:space="preserve"> error for four constraint schemes on the identical PI-DeepONet backbone; bars are three-seed mean </w:t>
      </w:r>
      <m:oMath xmlns:a="http://schemas.openxmlformats.org/drawingml/2006/main" xmlns:pic="http://schemas.openxmlformats.org/drawingml/2006/picture">
        <m:r>
          <m:rPr>
            <m:sty m:val="p"/>
          </m:rPr>
          <m:t>±</m:t>
        </m:r>
      </m:oMath>
      <w:r>
        <w:rPr>
          <w:sz w:val="18"/>
        </w:rPr>
        <w:t xml:space="preserve"> SD. (B) Charge-identity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wall-gradient error for the four schemes; the hyperbolic reconstruction and the direct scheme are exact by construction, whereas the linear projection leaves a finite mismatch. (C) Physics-loss ablation on the interpolation-test split for the wall-gradient and interior Poisson residuals. (D) Physics-weight sensitivity at seed 42: net-charge error (left axis) and wall-gradient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interp-test net-charge and wall-gradient errors of the plain MLP trunk and five radial variants, normalized to the MLP trunk (dashed line). (F)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rPr>
          <w:sz w:val="18"/>
        </w:rPr>
        <w:t xml:space="preserve"> plane with white contours at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the current is insensitive to wall charge at every operating point.</w:t>
      </w:r>
    </w:p>
    <w:p>
      <w:r>
        <w:t>A 300-epoch FNO reduces the interp-test potential error from 0.005495 to 0.002195 (2.50-fold) and the current error from 0.008511 to 0.003349 (2.54-fold), with smaller gains out of distribution (Supplementary Table S9). The 110-epoch FNO is therefore not fully converged in-distribution, but its ranking against the DeepONet is unchanged; the DeepONet remains more accurate at a fraction of the parameter count.</w:t>
      </w:r>
    </w:p>
    <w:p>
      <w:pPr>
        <w:pStyle w:val="Heading3"/>
      </w:pPr>
      <w:r>
        <w:t>3.4 Out-of-distribution behavior</w:t>
      </w:r>
    </w:p>
    <w:p>
      <w:r>
        <w:t xml:space="preserve">The OOD split combines charge/salt extrapolation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the mean absolute current error is 0.1077 pA. For the FNO the corresponding values are 0.02079, 0.01487, 0.2241, and 0.009123, with a mean absolute current error of 0.5338 pA. The two models are statistically indistinguishable for potential (FNO/DeepONet ratio 1.03), while the FNO is better for cation concentration (1.43-fold) and net charge (1.64-fold), and the DeepONet is better for current (6.69-fold).</w:t>
      </w:r>
    </w:p>
    <w:p>
      <w:r>
        <w:t>The regime shift is visible in the potential error: the DeepONet OOD potential error is 22.7-fold larger than its interp-test value, whereas the FNO grows only 3.78-fold because it starts from a larger in-distribution error. Current is far more robust than the pointwise fields: both models keep OOD current errors below 1%, because the current is an integral of the flux and benefits from error cancellation, whereas pointwise concentrations and potentials remain sensitive to local extrapolation error. Field-level OOD predictions should therefore be interpreted more cautiously than current–voltage predictions. This distinction matters for applications: if the target is a measured current–voltage curve, the operator transfers better than the field-level metrics suggest, but if the target is a local concentration or charge profile, OOD accuracy must be checked explicitly.</w:t>
      </w:r>
    </w:p>
    <w:p>
      <w:r>
        <w:t xml:space="preserve">Figure 4A shows the per-state relative </w:t>
      </w:r>
      <m:oMath xmlns:a="http://schemas.openxmlformats.org/drawingml/2006/main" xmlns:pic="http://schemas.openxmlformats.org/drawingml/2006/picture">
        <m:sSub>
          <m:e>
            <m:r>
              <m:t>L</m:t>
            </m:r>
          </m:e>
          <m:sub>
            <m:r>
              <m:t>2</m:t>
            </m:r>
          </m:sub>
        </m:sSub>
      </m:oMath>
      <w:r>
        <w:t xml:space="preserve"> error distributions for potential, net charge, and current on both splits; Figure 4B resolves the net-charge and current errors against the EDL overlap parameter </w:t>
      </w:r>
      <m:oMath xmlns:a="http://schemas.openxmlformats.org/drawingml/2006/main" xmlns:pic="http://schemas.openxmlformats.org/drawingml/2006/picture">
        <m:sSub>
          <m:e>
            <m:r>
              <m:t>λ</m:t>
            </m:r>
          </m:e>
          <m:sub>
            <m:r>
              <m:t>D</m:t>
            </m:r>
          </m:sub>
        </m:sSub>
        <m:r>
          <m:rPr>
            <m:sty m:val="p"/>
          </m:rPr>
          <m:t>/</m:t>
        </m:r>
        <m:r>
          <m:t>R</m:t>
        </m:r>
      </m:oMath>
      <w:r>
        <w:t>, with a lower subpanel that gives the spatial error budget of Figure 4B; and Figure 4C shows the current parity over all 96 test states with a residual subpanel. The parity slope is close to unity and the coefficient of determination is 1 to four decimal places; the residual inset shows no systematic bias with current magnitude.</w:t>
      </w:r>
    </w:p>
    <w:p>
      <w:r>
        <w:t>Figure 4B (lower) and Supplementary Table S18 decompose the OOD error. Of the total squared potential error, 51% lies in the pore core, 39% in the wall EDL, and 10% at the reservoir transitions; the pattern is nearly identical for net charge (52/39/8%). Per unit reference, however, the wall EDL carries the largest potential error (2.4% versus 2.25% in the core and 1.1% at the corners) and the reservoir transitions carry the largest net-charge error (40%). The comparison across extrapolation directions is sharper: combined charge and low-salt extrapolation accounts for 94% of the total squared error for both fields, charge-only extrapolation for about 6%, and narrow radius for 0.2–2%, while high-voltage states alone are benign (mean net-charge error 0.114 versus 0.372 for combined charge+salt). The current remains accurate because the corner and wall errors cancel: the area-weighted cross-section mean of the potential error is only 1.3% of the potential RMS even though the pointwise error reaches 2%, and current continuity integrates the residual flux to a global error of 0.12–0.23%.</w:t>
      </w:r>
    </w:p>
    <w:p>
      <w:r>
        <w:t xml:space="preserve">Figure 4D adds a data-scaling study on the expanded 384-state dataset (Supplementary Table S3). Nested training subsets of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give interp-test net-charge errors that fall from 0.3927 to 0.1299 and potential errors that fall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xml:space="preserve">. In-distribution accuracy therefore tracks roughly </w:t>
      </w:r>
      <m:oMath xmlns:a="http://schemas.openxmlformats.org/drawingml/2006/main" xmlns:pic="http://schemas.openxmlformats.org/drawingml/2006/picture">
        <m:sSup>
          <m:e>
            <m:r>
              <m:t>N</m:t>
            </m:r>
          </m:e>
          <m:sup>
            <m:r>
              <m:rPr>
                <m:sty m:val="p"/>
              </m:rPr>
              <m:t>−</m:t>
            </m:r>
            <m:r>
              <m:t>1</m:t>
            </m:r>
            <m:r>
              <m:rPr>
                <m:sty m:val="p"/>
              </m:rPr>
              <m:t>/</m:t>
            </m:r>
            <m:r>
              <m:t>2</m:t>
            </m:r>
          </m:sup>
        </m:sSup>
      </m:oMath>
      <w:r>
        <w:t>, the rate expected for a smooth operator in four dimensions with the current loss, but the out-of-distribution net-charge error changes only from 0.317 to 0.253 over the same eight-fold increase (</w:t>
      </w:r>
      <m:oMath xmlns:a="http://schemas.openxmlformats.org/drawingml/2006/main" xmlns:pic="http://schemas.openxmlformats.org/drawingml/2006/picture">
        <m:r>
          <m:t>α</m:t>
        </m:r>
        <m:r>
          <m:rPr>
            <m:sty m:val="p"/>
          </m:rPr>
          <m:t>=</m:t>
        </m:r>
        <m:r>
          <m:t>0.13</m:t>
        </m:r>
      </m:oMath>
      <w:r>
        <w:t>). The training box, not the sample count, is the binding constraint on extrapolation, which reinforces the field-versus-current distinction above.</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In-distribution versus out-of-distribution behavior and data scaling. (A) Per-state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interpolation-test and OOD splits; boxes show the median and interquartile range and whiskers extend to the full state range. (B) Top: error versus EDL overlap parameter for net charge (filled symbols) and axial current (open triangles). Bottom: share of the total OOD squared error in the reservoir transitions, wall EDL, and pore core for </w:t>
      </w:r>
      <m:oMath xmlns:a="http://schemas.openxmlformats.org/drawingml/2006/main" xmlns:pic="http://schemas.openxmlformats.org/drawingml/2006/picture">
        <m:r>
          <m:t>ψ</m:t>
        </m:r>
      </m:oMath>
      <w:r>
        <w:rPr>
          <w:sz w:val="18"/>
        </w:rPr>
        <w:t xml:space="preserve"> and </w:t>
      </w:r>
      <m:oMath xmlns:a="http://schemas.openxmlformats.org/drawingml/2006/main" xmlns:pic="http://schemas.openxmlformats.org/drawingml/2006/picture">
        <m:r>
          <m:t>ρ</m:t>
        </m:r>
      </m:oMath>
      <w:r>
        <w:rPr>
          <w:sz w:val="18"/>
        </w:rPr>
        <w:t xml:space="preserve">, for both backbones; the annotation gives the mutually exclusive parametric shares. (C) Current parity for the 96 test states, with the residual (prediction minus reference, in pA) shown in the lower subpanel; the dashed line is the identity. (D) Data-scaling law on the 384-state dataset: interp-test and OOD net-charge error and interp-test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Beyond pointwise accuracy, the operator must behave as a smooth function of its inputs, because design and inversion workflows query it at parameter values that were never training states. Figure 5 tests exactly this.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(3, 5, and 7 nm) and compares the operator current–voltage curves with on-the-fly SG/FV solves at five biases; the curves overlap across the full range and the ordering with radius is monotone, as expected from the pore cross-section. Figure 5B plots the near-wall cation concentration against bulk salt from 10 to 200 mol </w:t>
      </w:r>
      <m:oMath xmlns:a="http://schemas.openxmlformats.org/drawingml/2006/main" xmlns:pic="http://schemas.openxmlformats.org/drawingml/2006/picture">
        <m:sSup>
          <m:e>
            <m:r>
              <m:t>m</m:t>
            </m:r>
          </m:e>
          <m:sup>
            <m:r>
              <m:rPr>
                <m:sty m:val="p"/>
              </m:rPr>
              <m:t>−</m:t>
            </m:r>
            <m:r>
              <m:t>3</m:t>
            </m:r>
          </m:sup>
        </m:sSup>
      </m:oMath>
      <w:r>
        <w:t xml:space="preserve"> at </w:t>
      </w:r>
      <m:oMath xmlns:a="http://schemas.openxmlformats.org/drawingml/2006/main" xmlns:pic="http://schemas.openxmlformats.org/drawingml/2006/picture">
        <m:r>
          <m:t>R</m:t>
        </m:r>
        <m:r>
          <m:rPr>
            <m:sty m:val="p"/>
          </m:rPr>
          <m:t>=</m:t>
        </m:r>
        <m:r>
          <m:t>5</m:t>
        </m:r>
      </m:oMath>
      <w:r>
        <w:t xml:space="preserve"> nm, showing the transition from EDL-dominated enrichment at low salinity to bulk-like values at high salinity. Figure 5C shows the radial net-charge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where the profile changes from overlap-dominated to wall-localized as salinity increases. Because every curve in Figure 5 is an interpolation at a parameter combination that is not a training state, the panels test the operator as a function rather than as a lookup table.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wall-localized charge. These parameter values are interpolations, not training states.</w:t>
      </w:r>
    </w:p>
    <w:p>
      <w:pPr>
        <w:pStyle w:val="Heading3"/>
      </w:pPr>
      <w:r>
        <w:t>3.6 Charge reparameterization as a structural fix</w:t>
      </w:r>
    </w:p>
    <w:p>
      <w:r>
        <w:t xml:space="preserve">The ablation in Figure 3 and Supplementary Table S5 isolates the effect of the output parameterization. The reparameterized models are not merely better on average; they remove the heavy tail of the direct-charge models. In the weakest-charge quartile, the direct models produce relative net-charge errors near unity, whereas the reparameterized models remain below 0.15. The same ordering holds for the FNO, so the benefit is architectural rather than specific to the DeepONet. Supplementary Tables S11, S12 give the full conditioning breakdown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 and by EDL-overlap ratio </w:t>
      </w:r>
      <m:oMath xmlns:a="http://schemas.openxmlformats.org/drawingml/2006/main" xmlns:pic="http://schemas.openxmlformats.org/drawingml/2006/picture">
        <m:sSub>
          <m:e>
            <m:r>
              <m:t>λ</m:t>
            </m:r>
          </m:e>
          <m:sub>
            <m:r>
              <m:t>D</m:t>
            </m:r>
          </m:sub>
        </m:sSub>
        <m:r>
          <m:rPr>
            <m:sty m:val="p"/>
          </m:rPr>
          <m:t>/</m:t>
        </m:r>
        <m:r>
          <m:t>R</m:t>
        </m:r>
      </m:oMath>
      <w:r>
        <w:t>.</w:t>
      </w:r>
    </w:p>
    <w:p>
      <w:r>
        <w:t xml:space="preserve">Because the reconstruction is algebraic, the improvement costs nothing at inference: the additional square root and division are negligible compared with the network evaluation, and they do not introduce tunable penalties. The identity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 which means the downstream current post-processing receives a physically consistent charge field by construction.</w:t>
      </w:r>
    </w:p>
    <w:p>
      <w:pPr>
        <w:pStyle w:val="Heading3"/>
      </w:pPr>
      <w:r>
        <w:t>3.7 Timing, amortization, and break-even</w:t>
      </w:r>
    </w:p>
    <w:p>
      <w:r>
        <w:t>Supplementary Table S8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 Figure 6A presents these batch-1 and batch-48 latencies for both backbones in PyTorch and ONNX on a common axis, and shows that the DeepONet retains a roughly an order-of-magnitude latency advantage at both batch sizes.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 Figure 6B shows these cumulative-cost curves, plotting the operator cost and the SG/FV cost against the number of forward states and marking the break-even counts; the prior-Xeon and DA-PINN-retrain references are drawn for context.</w:t>
      </w:r>
    </w:p>
    <w:p>
      <w:pPr>
        <w:spacing w:before="120" w:after="40"/>
        <w:jc w:val="center"/>
      </w:pPr>
      <w:r>
        <w:drawing>
          <wp:inline xmlns:a="http://schemas.openxmlformats.org/drawingml/2006/main" xmlns:pic="http://schemas.openxmlformats.org/drawingml/2006/picture">
            <wp:extent cx="5852160" cy="3959402"/>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3959402"/>
                    </a:xfrm>
                    <a:prstGeom prst="rect"/>
                  </pic:spPr>
                </pic:pic>
              </a:graphicData>
            </a:graphic>
          </wp:inline>
        </w:drawing>
      </w:r>
    </w:p>
    <w:p>
      <w:pPr>
        <w:spacing w:after="200"/>
      </w:pPr>
      <w:r>
        <w:rPr>
          <w:b/>
          <w:sz w:val="18"/>
        </w:rPr>
        <w:t>Figure 6.</w:t>
      </w:r>
      <w:r>
        <w:rPr>
          <w:sz w:val="18"/>
        </w:rPr>
        <w:t xml:space="preserve"> Latency, amortization, and exact-versus-operator Fisher validation.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 (C) Exact SG/FV finite-difference sensitivities against the neural-operator sensitivities for 15 held-out states: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the absolute charge sensitivity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(D) Median Fisher condition number </w:t>
      </w:r>
      <m:oMath xmlns:a="http://schemas.openxmlformats.org/drawingml/2006/main" xmlns:pic="http://schemas.openxmlformats.org/drawingml/2006/picture">
        <m:r>
          <m:t>κ</m:t>
        </m:r>
        <m:r>
          <m:rPr>
            <m:sty m:val="p"/>
          </m:rPr>
          <m:t>(</m:t>
        </m:r>
        <m:r>
          <m:rPr>
            <m:scr m:val="script"/>
            <m:sty m:val="p"/>
          </m:rPr>
          <m:t>F</m:t>
        </m:r>
        <m:r>
          <m:rPr>
            <m:sty m:val="p"/>
          </m:rPr>
          <m:t>)</m:t>
        </m:r>
      </m:oMath>
      <w:r>
        <w:rPr>
          <w:sz w:val="18"/>
        </w:rPr>
        <w:t xml:space="preserve"> for the single-salt, multi-salt, and dual protocols, comparing the exact SG/FV Jacobian with the operator; both collapse by ten orders of magnitude once the near-wall selectivity observable is added.</w:t>
      </w:r>
    </w:p>
    <w:p>
      <w:r>
        <w:t>These counts are conservative in one respect and optimistic in another: they charge the full dataset-generation and training cost to the operator but not the engineering time of building it, and they assume that the SG/FV baseline is run serially. The break-even count is only about 1.9 times the 240-state training set, so the operator is most advantageous for sweeps of thousands of states; against per-state DA-PINN retraining, a single query already amortizes it.</w:t>
      </w:r>
    </w:p>
    <w:p>
      <w:pPr>
        <w:pStyle w:val="Heading3"/>
      </w:pPr>
      <w:r>
        <w:t>3.8 Physics loss and data-only ablation</w:t>
      </w:r>
    </w:p>
    <w:p>
      <w:r>
        <w:t xml:space="preserve">Removing the physics term degrades the current more than the fields. For the DeepONet, the interp-test current error rises from 0.001093 to 0.001687 (35.2% higher), while the potential error changes only from 0.0008914 to 0.000928 (3.95% higher). For the FNO, the interp-test current error rises from 0.008511 to 0.01393 (38.9% higher), and the OOD current error rises from 0.009123 to 0.01815 (49.7% higher). The OOD potential error of the FNO also rises from 0.02079 to 0.03013 (31.0% higher). Figure 3C summarizes this ablation through the near-wall derivative residual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 xml:space="preserve"> and the interior Poisson residual on the interpolation split, where the data-only bars are the ones that move most.</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3.9 Inverse parameter recovery</w:t>
      </w:r>
    </w:p>
    <w:p>
      <w:r>
        <w:t>The inverse demonstration asks what can be inferred from a noisy current–voltage curve alone. For five held-out states, the operator recovers the pore radius with a median relative error of 0.004574 (0.46%). The radius is identifiable because the current scales approximately with the pore cross-section and the five-bias slope fixes the conductance scale.</w:t>
      </w:r>
    </w:p>
    <w:p>
      <w:r>
        <w:t xml:space="preserve">Surface charge is not identifiable at the same noise level. Across the full charge prior, the median state-level change in the predicted current at the recovered radius is 0.0009625 (0.096%), and the largest state-level change is 0.0019 (0.19%); both are below the 1% measurement noise. The objective is therefore flat in </w:t>
      </w:r>
      <m:oMath xmlns:a="http://schemas.openxmlformats.org/drawingml/2006/main" xmlns:pic="http://schemas.openxmlformats.org/drawingml/2006/picture">
        <m:sSub>
          <m:e>
            <m:r>
              <m:t>q</m:t>
            </m:r>
          </m:e>
          <m:sub>
            <m:r>
              <m:t>w</m:t>
            </m:r>
          </m:sub>
        </m:sSub>
      </m:oMath>
      <w:r>
        <w:t xml:space="preserve">: the recovered charge can move anywhere in the prior without a detectable change in the residual. The median relative error in </w:t>
      </w:r>
      <m:oMath xmlns:a="http://schemas.openxmlformats.org/drawingml/2006/main" xmlns:pic="http://schemas.openxmlformats.org/drawingml/2006/picture">
        <m:sSub>
          <m:e>
            <m:r>
              <m:t>q</m:t>
            </m:r>
          </m:e>
          <m:sub>
            <m:r>
              <m:t>w</m:t>
            </m:r>
          </m:sub>
        </m:sSub>
      </m:oMath>
      <w:r>
        <w:t xml:space="preserve"> is 1.154, and the median relative error in the derived surface charge density is 1.146. Relative error is misleading for the near-zero charge state: state 175 has a true </w:t>
      </w:r>
      <m:oMath xmlns:a="http://schemas.openxmlformats.org/drawingml/2006/main" xmlns:pic="http://schemas.openxmlformats.org/drawingml/2006/picture">
        <m:sSub>
          <m:e>
            <m:r>
              <m:t>q</m:t>
            </m:r>
          </m:e>
          <m:sub>
            <m:r>
              <m:t>w</m:t>
            </m:r>
          </m:sub>
        </m:sSub>
        <m:r>
          <m:rPr>
            <m:sty m:val="p"/>
          </m:rPr>
          <m:t>=</m:t>
        </m:r>
        <m:r>
          <m:rPr>
            <m:sty m:val="p"/>
          </m:rPr>
          <m:t>−</m:t>
        </m:r>
        <m:r>
          <m:t>0.00206</m:t>
        </m:r>
      </m:oMath>
      <w:r>
        <w:t xml:space="preserve">, so a small absolute error of 0.0961 produces a relative error of 46.7. The median absolute error in </w:t>
      </w:r>
      <m:oMath xmlns:a="http://schemas.openxmlformats.org/drawingml/2006/main" xmlns:pic="http://schemas.openxmlformats.org/drawingml/2006/picture">
        <m:sSub>
          <m:e>
            <m:r>
              <m:t>q</m:t>
            </m:r>
          </m:e>
          <m:sub>
            <m:r>
              <m:t>w</m:t>
            </m:r>
          </m:sub>
        </m:sSub>
      </m:oMath>
      <w:r>
        <w:t xml:space="preserve"> is 0.0526 (about half the prior width), and the median absolute error in </w:t>
      </w:r>
      <m:oMath xmlns:a="http://schemas.openxmlformats.org/drawingml/2006/main" xmlns:pic="http://schemas.openxmlformats.org/drawingml/2006/picture">
        <m:r>
          <m:t>R</m:t>
        </m:r>
      </m:oMath>
      <w:r>
        <w:t xml:space="preserve"> is 0.0181 nm. Supplementary Table S10 reports both relative errors and the per-state values. The flat direction is not a failure of the operator; it is a property of the measurement. For a symmetric electrolyte with nearly equal ionic diffusivities, the leading conductance is set by the total ionic strength, and over the accessible charge range the Donnan polarization induced by the wall changes that conductance by less than 0.2%. The total conductance is therefore nearly independent of fixed wall charge at the 1% noise level. Recovering </w:t>
      </w:r>
      <m:oMath xmlns:a="http://schemas.openxmlformats.org/drawingml/2006/main" xmlns:pic="http://schemas.openxmlformats.org/drawingml/2006/picture">
        <m:sSub>
          <m:e>
            <m:r>
              <m:t>q</m:t>
            </m:r>
          </m:e>
          <m:sub>
            <m:r>
              <m:t>w</m:t>
            </m:r>
          </m:sub>
        </m:sSub>
      </m:oMath>
      <w:r>
        <w:t xml:space="preserve"> requires a charge-sensitive observable, such as the streaming potential, the radial potential profile, or a multi-salt nonlinear response, rather than conductance alone.</w:t>
      </w:r>
    </w:p>
    <w:p>
      <w:r>
        <w:t xml:space="preserve">The multi-protocol experiment confirms this interpretation and shows how to break the degeneracy (Supplementary Table S15). Over 15 held-out states, single-salt current–voltage inversion leaves the median </w:t>
      </w:r>
      <m:oMath xmlns:a="http://schemas.openxmlformats.org/drawingml/2006/main" xmlns:pic="http://schemas.openxmlformats.org/drawingml/2006/picture">
        <m:sSub>
          <m:e>
            <m:r>
              <m:t>q</m:t>
            </m:r>
          </m:e>
          <m:sub>
            <m:r>
              <m:t>w</m:t>
            </m:r>
          </m:sub>
        </m:sSub>
      </m:oMath>
      <w:r>
        <w:t xml:space="preserve"> error at 0.77–1.00 for all three noise levels, and the multi-salt protocol improves the charge sensitivity roughly tenfold at low salinity (relative spread of </w:t>
      </w:r>
      <m:oMath xmlns:a="http://schemas.openxmlformats.org/drawingml/2006/main" xmlns:pic="http://schemas.openxmlformats.org/drawingml/2006/picture">
        <m:r>
          <m:rPr>
            <m:sty m:val="p"/>
          </m:rPr>
          <m:t>|</m:t>
        </m:r>
        <m:r>
          <m:t>I</m:t>
        </m:r>
        <m:r>
          <m:rPr>
            <m:sty m:val="p"/>
          </m:rPr>
          <m:t>|</m:t>
        </m:r>
      </m:oMath>
      <w:r>
        <w:t xml:space="preserve"> over the charge prior: </w:t>
      </w:r>
      <m:oMath xmlns:a="http://schemas.openxmlformats.org/drawingml/2006/main" xmlns:pic="http://schemas.openxmlformats.org/drawingml/2006/picture">
        <m:r>
          <m:t>1.3</m:t>
        </m:r>
        <m:r>
          <m:rPr>
            <m:sty m:val="p"/>
          </m:rPr>
          <m:t>×</m:t>
        </m:r>
        <m:sSup>
          <m:e>
            <m:r>
              <m:t>10</m:t>
            </m:r>
          </m:e>
          <m:sup>
            <m:r>
              <m:rPr>
                <m:sty m:val="p"/>
              </m:rPr>
              <m:t>−</m:t>
            </m:r>
            <m:r>
              <m:t>3</m:t>
            </m:r>
          </m:sup>
        </m:sSup>
      </m:oMath>
      <w:r>
        <w:t xml:space="preserve"> at </w:t>
      </w:r>
      <m:oMath xmlns:a="http://schemas.openxmlformats.org/drawingml/2006/main" xmlns:pic="http://schemas.openxmlformats.org/drawingml/2006/picture">
        <m:sSub>
          <m:e>
            <m:r>
              <m:t>C</m:t>
            </m:r>
          </m:e>
          <m:sub>
            <m:r>
              <m:t>0</m:t>
            </m:r>
          </m:sub>
        </m:sSub>
        <m:r>
          <m:rPr>
            <m:sty m:val="p"/>
          </m:rPr>
          <m:t>=</m:t>
        </m:r>
        <m:r>
          <m:t>10</m:t>
        </m:r>
      </m:oMath>
      <w:r>
        <w:t xml:space="preserve"> mol </w:t>
      </w:r>
      <m:oMath xmlns:a="http://schemas.openxmlformats.org/drawingml/2006/main" xmlns:pic="http://schemas.openxmlformats.org/drawingml/2006/picture">
        <m:sSup>
          <m:e>
            <m:r>
              <m:t>m</m:t>
            </m:r>
          </m:e>
          <m:sup>
            <m:r>
              <m:rPr>
                <m:sty m:val="p"/>
              </m:rPr>
              <m:t>−</m:t>
            </m:r>
            <m:r>
              <m:t>3</m:t>
            </m:r>
          </m:sup>
        </m:sSup>
      </m:oMath>
      <w:r>
        <w:t xml:space="preserve"> versus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but still leaves the median </w:t>
      </w:r>
      <m:oMath xmlns:a="http://schemas.openxmlformats.org/drawingml/2006/main" xmlns:pic="http://schemas.openxmlformats.org/drawingml/2006/picture">
        <m:sSub>
          <m:e>
            <m:r>
              <m:t>q</m:t>
            </m:r>
          </m:e>
          <m:sub>
            <m:r>
              <m:t>w</m:t>
            </m:r>
          </m:sub>
        </m:sSub>
      </m:oMath>
      <w:r>
        <w:t xml:space="preserve"> error at 0.82–1.00, because the gain stays below the noise floor. Both protocols recover radius to better than 0.7%. Adding the near-wall selectivity observable changes the outcome: the dual protocol recovers </w:t>
      </w:r>
      <m:oMath xmlns:a="http://schemas.openxmlformats.org/drawingml/2006/main" xmlns:pic="http://schemas.openxmlformats.org/drawingml/2006/picture">
        <m:sSub>
          <m:e>
            <m:r>
              <m:t>q</m:t>
            </m:r>
          </m:e>
          <m:sub>
            <m:r>
              <m:t>w</m:t>
            </m:r>
          </m:sub>
        </m:sSub>
      </m:oMath>
      <w:r>
        <w:t xml:space="preserve"> with a median relative error of 0.0005–0.0028 and </w:t>
      </w:r>
      <m:oMath xmlns:a="http://schemas.openxmlformats.org/drawingml/2006/main" xmlns:pic="http://schemas.openxmlformats.org/drawingml/2006/picture">
        <m:r>
          <m:t>R</m:t>
        </m:r>
      </m:oMath>
      <w:r>
        <w:t xml:space="preserve"> with a median relative error of 0.0003–0.0018 across the same noise levels, i.e., both parameters to below 0.3%. The selectivity observable carries the charge information that the total conductance lacks, which is consistent with the Fisher analysis of Figure 3F: the charge axis is the near-null direction of the conductance-only Fisher matrix at every operating point.</w:t>
      </w:r>
    </w:p>
    <w:p>
      <w:r>
        <w:t xml:space="preserve">The exact SG/FV finite-difference validation closes the loop on the surrogate's sensitivity (Figure 6C–D, Supplementary Table S19). Over 15 held-out states we computed the centered finite-difference Jacobian of the float64 Scharfetter–Gummel solver at relative step </w:t>
      </w:r>
      <m:oMath xmlns:a="http://schemas.openxmlformats.org/drawingml/2006/main" xmlns:pic="http://schemas.openxmlformats.org/drawingml/2006/picture">
        <m:sSup>
          <m:e>
            <m:r>
              <m:t>10</m:t>
            </m:r>
          </m:e>
          <m:sup>
            <m:r>
              <m:rPr>
                <m:sty m:val="p"/>
              </m:rPr>
              <m:t>−</m:t>
            </m:r>
            <m:r>
              <m:t>3</m:t>
            </m:r>
          </m:sup>
        </m:sSup>
      </m:oMath>
      <w:r>
        <w:t xml:space="preserve"> and compared it with the operator Jacobian at the same 15 states and three measurement protocols.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a median relative difference of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(both 2.000), confirming that the operator captures the area scaling exactly. The absolute charge sensitivity is small in both (median </w:t>
      </w:r>
      <m:oMath xmlns:a="http://schemas.openxmlformats.org/drawingml/2006/main" xmlns:pic="http://schemas.openxmlformats.org/drawingml/2006/picture">
        <m:r>
          <m:t>2.1</m:t>
        </m:r>
        <m:r>
          <m:rPr>
            <m:sty m:val="p"/>
          </m:rPr>
          <m:t>×</m:t>
        </m:r>
        <m:sSup>
          <m:e>
            <m:r>
              <m:t>10</m:t>
            </m:r>
          </m:e>
          <m:sup>
            <m:r>
              <m:rPr>
                <m:sty m:val="p"/>
              </m:rPr>
              <m:t>−</m:t>
            </m:r>
            <m:r>
              <m:t>5</m:t>
            </m:r>
          </m:sup>
        </m:sSup>
      </m:oMath>
      <w:r>
        <w:t xml:space="preserve"> for the exact solver versus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for the operator); the operator modestly overestimates it, which is conservative for identifiability. The conditioning collapses in the same way for both: the exact median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falls from </w:t>
      </w:r>
      <m:oMath xmlns:a="http://schemas.openxmlformats.org/drawingml/2006/main" xmlns:pic="http://schemas.openxmlformats.org/drawingml/2006/picture">
        <m:r>
          <m:t>4.9</m:t>
        </m:r>
        <m:r>
          <m:rPr>
            <m:sty m:val="p"/>
          </m:rPr>
          <m:t>×</m:t>
        </m:r>
        <m:sSup>
          <m:e>
            <m:r>
              <m:t>10</m:t>
            </m:r>
          </m:e>
          <m:sup>
            <m:r>
              <m:t>15</m:t>
            </m:r>
          </m:sup>
        </m:sSup>
      </m:oMath>
      <w:r>
        <w:t xml:space="preserve"> for the single-salt protocol to </w:t>
      </w:r>
      <m:oMath xmlns:a="http://schemas.openxmlformats.org/drawingml/2006/main" xmlns:pic="http://schemas.openxmlformats.org/drawingml/2006/picture">
        <m:r>
          <m:t>8.7</m:t>
        </m:r>
        <m:r>
          <m:rPr>
            <m:sty m:val="p"/>
          </m:rPr>
          <m:t>×</m:t>
        </m:r>
        <m:sSup>
          <m:e>
            <m:r>
              <m:t>10</m:t>
            </m:r>
          </m:e>
          <m:sup>
            <m:r>
              <m:t>9</m:t>
            </m:r>
          </m:sup>
        </m:sSup>
      </m:oMath>
      <w:r>
        <w:t xml:space="preserve"> for the multi-salt protocol and </w:t>
      </w:r>
      <m:oMath xmlns:a="http://schemas.openxmlformats.org/drawingml/2006/main" xmlns:pic="http://schemas.openxmlformats.org/drawingml/2006/picture">
        <m:r>
          <m:t>1.8</m:t>
        </m:r>
        <m:r>
          <m:rPr>
            <m:sty m:val="p"/>
          </m:rPr>
          <m:t>×</m:t>
        </m:r>
        <m:sSup>
          <m:e>
            <m:r>
              <m:t>10</m:t>
            </m:r>
          </m:e>
          <m:sup>
            <m:r>
              <m:t>5</m:t>
            </m:r>
          </m:sup>
        </m:sSup>
      </m:oMath>
      <w:r>
        <w:t xml:space="preserve"> for the dual protocol, and the operator reproduces the dual value to within 1% (</w:t>
      </w:r>
      <m:oMath xmlns:a="http://schemas.openxmlformats.org/drawingml/2006/main" xmlns:pic="http://schemas.openxmlformats.org/drawingml/2006/picture">
        <m:r>
          <m:t>1.76</m:t>
        </m:r>
        <m:r>
          <m:rPr>
            <m:sty m:val="p"/>
          </m:rPr>
          <m:t>×</m:t>
        </m:r>
        <m:sSup>
          <m:e>
            <m:r>
              <m:t>10</m:t>
            </m:r>
          </m:e>
          <m:sup>
            <m:r>
              <m:t>5</m:t>
            </m:r>
          </m:sup>
        </m:sSup>
      </m:oMath>
      <w:r>
        <w:t xml:space="preserve">). The operator underestimates the single-salt conditioning because its charge sensitivity is larger than the exact value, but both analyses agree that single-salt conditioning exceeds </w:t>
      </w:r>
      <m:oMath xmlns:a="http://schemas.openxmlformats.org/drawingml/2006/main" xmlns:pic="http://schemas.openxmlformats.org/drawingml/2006/picture">
        <m:sSup>
          <m:e>
            <m:r>
              <m:t>10</m:t>
            </m:r>
          </m:e>
          <m:sup>
            <m:r>
              <m:t>8</m:t>
            </m:r>
          </m:sup>
        </m:sSup>
      </m:oMath>
      <w:r>
        <w:t xml:space="preserve"> and that the dual observable collapses it by ten orders of magnitude.</w:t>
      </w:r>
    </w:p>
    <w:p>
      <w:r>
        <w:t>The timing makes the amortization concrete. Each inverse problem evaluates 2000 forward states (400 candidates at five biases); the operator does so in 0.1253 s, whereas the same number of SG/FV solves would take 402.6 s, an approximately 3200-fold speed-up. Supplementary Table S10 reports the per-state results. The same arithmetic as Figure 6B then applies: 2000 forward evaluations cost 0.125 s with the operator and 402.6 s with SG/FV, so a single five-state inversion already sits far past the forward break-even point.</w:t>
      </w:r>
    </w:p>
    <w:p>
      <w:pPr>
        <w:pStyle w:val="Heading3"/>
      </w:pPr>
      <w:r>
        <w:t>3.10 Interactive deployment</w:t>
      </w:r>
    </w:p>
    <w:p>
      <w:r>
        <w:t xml:space="preserve">The exported models run without a Python server: a single ONNX graph serves a static browser simulator (with an optional in-browser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dual-engine design keeps the reference solver available for validation rather than replacing it. Interface details, bundle sizes, and the full deployment and parity record are collected in Supplementary Section S8 and Supplementary Table S13.</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The charge-balanced parameterization is the most transferable result. The improvement is large (8.63-fold for DeepONet and 10.29-fold for FNO), it costs nothing at inference, and it is architecture-agnostic. The underlying mechanism is general: whenever a physical quantity is a small difference of two large positive fields, direct regression suffers from cancellation, and a reparameterization in terms of the sum and the difference removes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35.2% for the DeepONet and 49.7% for the FNO out of distribution. Because current is the quantity that experiments measure, this is the relevant metric, and it justifies retaining the residual term even when labeled data are available.</w:t>
      </w:r>
    </w:p>
    <w:p>
      <w:r>
        <w:t xml:space="preserve">The inverse experiment sharpens the scope of the method. Radius is identifiable from a five-bias current–voltage curve to 0.46%, and the operator makes the inversion cheap (0.1253 s per curve versus 402.6 s of SG/FV work). Surface charge is not identifiable under the same protocol: the median state-level current change is 0.096% across the full charge prior (largest state-level change 0.19%), both below the 1% noise. This is a physical identifiability limit, not a surrogate error. It follows from the near-invariance of the concentration sum for a symmetric electrolyte with nearly equal diffusivities, and the Fisher analysis shows it holds at every operating point, with a near-null charge direction and condition numbers above </w:t>
      </w:r>
      <m:oMath xmlns:a="http://schemas.openxmlformats.org/drawingml/2006/main" xmlns:pic="http://schemas.openxmlformats.org/drawingml/2006/picture">
        <m:sSup>
          <m:e>
            <m:r>
              <m:t>10</m:t>
            </m:r>
          </m:e>
          <m:sup>
            <m:r>
              <m:t>8</m:t>
            </m:r>
          </m:sup>
        </m:sSup>
      </m:oMath>
      <w:r>
        <w:t>. The multi-protocol study sharpens the remedy: multi-salt current–voltage data increase the charge sensitivity by roughly an order of magnitude at low salinity but remain below the noise floor, and it is the independent near-wall selectivity observable that recovers wall charge to below 0.3%. Closing the gap in a real experiment therefore requires a genuinely charge-sensitive measurement, such as streaming potential, field-resolved sensing, or a near-wall selectivity readout, rather than more current–voltage data at different salinities. The operator is well suited to such protocols because it can evaluate thousands of candidate parameter combinations per second.</w:t>
      </w:r>
    </w:p>
    <w:p>
      <w:r>
        <w:t xml:space="preserve">The selectivity observable that breaks the degeneracy is not a purely theoretical construct. In a symmetric binary electrolyte the near-wall selectivity is, to leading order, the transference-number imbalance </w:t>
      </w:r>
      <m:oMath xmlns:a="http://schemas.openxmlformats.org/drawingml/2006/main" xmlns:pic="http://schemas.openxmlformats.org/drawingml/2006/picture">
        <m:r>
          <m:t>S</m:t>
        </m:r>
        <m:r>
          <m:rPr>
            <m:sty m:val="p"/>
          </m:rPr>
          <m:t>≃</m:t>
        </m:r>
        <m:r>
          <m:t>2</m:t>
        </m:r>
        <m:sSub>
          <m:e>
            <m:r>
              <m:t>t</m:t>
            </m:r>
          </m:e>
          <m:sub>
            <m:r>
              <m:rPr>
                <m:sty m:val="p"/>
              </m:rPr>
              <m:t>+</m:t>
            </m:r>
          </m:sub>
        </m:sSub>
        <m:r>
          <m:rPr>
            <m:sty m:val="p"/>
          </m:rPr>
          <m:t>−</m:t>
        </m:r>
        <m:r>
          <m:t>1</m:t>
        </m:r>
      </m:oMath>
      <w:r>
        <w:t xml:space="preserve">, so a concentration-cell reversal potential </w:t>
      </w:r>
      <m:oMath xmlns:a="http://schemas.openxmlformats.org/drawingml/2006/main" xmlns:pic="http://schemas.openxmlformats.org/drawingml/2006/picture">
        <m:sSub>
          <m:e>
            <m:r>
              <m:t>V</m:t>
            </m:r>
          </m:e>
          <m:sub>
            <m:r>
              <m:rPr>
                <m:sty m:val="p"/>
              </m:rPr>
              <m:t>r</m:t>
            </m:r>
            <m:r>
              <m:rPr>
                <m:sty m:val="p"/>
              </m:rPr>
              <m:t>e</m:t>
            </m:r>
            <m:r>
              <m:rPr>
                <m:sty m:val="p"/>
              </m:rPr>
              <m:t>v</m:t>
            </m:r>
          </m:sub>
        </m:sSub>
      </m:oMath>
      <w:r>
        <w:t xml:space="preserve"> (or the streaming potential under a pressure gradient) provides a direct, calibration-based estimate of </w:t>
      </w:r>
      <m:oMath xmlns:a="http://schemas.openxmlformats.org/drawingml/2006/main" xmlns:pic="http://schemas.openxmlformats.org/drawingml/2006/picture">
        <m:sSub>
          <m:e>
            <m:r>
              <m:t>t</m:t>
            </m:r>
          </m:e>
          <m:sub>
            <m:r>
              <m:rPr>
                <m:sty m:val="p"/>
              </m:rPr>
              <m:t>+</m:t>
            </m:r>
          </m:sub>
        </m:sSub>
      </m:oMath>
      <w:r>
        <w:t xml:space="preserve"> and hence of </w:t>
      </w:r>
      <m:oMath xmlns:a="http://schemas.openxmlformats.org/drawingml/2006/main" xmlns:pic="http://schemas.openxmlformats.org/drawingml/2006/picture">
        <m:r>
          <m:t>S</m:t>
        </m:r>
      </m:oMath>
      <w:r>
        <w:t xml:space="preserve"> [20–23]. Current-rectification ratios (ICR) in asymmetric or conical pores carry the same charge information and are routinely measured, although they convolve charge with geometry and require the operator to separate the two. Optical routes— plasmonic nanopores, surface-enhanced Raman scattering, or wall-localized fluorescent ion indicators— can in principle resolve the near-wall concentration difference directly, at the cost of labeling and photostability constraints. None of these measurements is as routine as a current–voltage sweep, which is precisely why the identifiability analysis matters: it tells experimentalists that a charge-sensitive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multi-scale radial basis, although physically motivated, is not essential: a plain MLP trunk matches it on the net-charge field and is slightly better in-distribution,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in-distribution data translate predictably into higher accuracy, whereas out-of-distribution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charge-sensitive observables.</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and the same operator serves as a computational instrument for identifiability. The DeepONet achieves 0.0008914 potential and 0.001093 current relative </w:t>
      </w:r>
      <m:oMath xmlns:a="http://schemas.openxmlformats.org/drawingml/2006/main" xmlns:pic="http://schemas.openxmlformats.org/drawingml/2006/picture">
        <m:sSub>
          <m:e>
            <m:r>
              <m:t>L</m:t>
            </m:r>
          </m:e>
          <m:sub>
            <m:r>
              <m:t>2</m:t>
            </m:r>
          </m:sub>
        </m:sSub>
      </m:oMath>
      <w:r>
        <w:t xml:space="preserve"> error on held-out in-distribution states, remains below 0.23% current error out of distribution, and runs in 0.072 ms per state after ONNX export. The charge-balanced parameterization reduces net-charge error by an order of magnitude relative to direct concentration outputs, and the physics loss reduces current error by 35–50%. A trunk ablation shows that the multi-scale radial basis is a modest near-wall inductive bias rather than a necessity,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xml:space="preserve"> while out-of-distribution error is nearly data-insensitive. A spatial and parametric decomposition shows that the residual out-of-distribution error is concentrated in the wall EDL and reservoir transitions per unit reference, but cancels in the cross-sectionally integrated current. The operator breaks even against the reference solver after about 460 states at the dataset-mean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The central physical result is a limit, not a speed-up: for a symmetric binary electrolyte and a conductance-only protocol, fixed wall charge is fundamentally unidentifiable at 1% noise regardless of surrogate or solver accuracy, as confirmed by the exact SG/FV Fisher matrix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Single- and multi-salt current–voltage sweeps cannot remove this degeneracy. Experimentalists should therefore invest in charge-sensitive observables—a concentration-cell reversal potential or transference number, a streaming potential, or field-resolved near-wall sensing—rather than in additional conductance data, and the operator is intended to design those protocols before the experiment is built.</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including a live SG/FV reference solver, is served at https://pino.statwhy.com/. A permanent archived copy will be deposited on Zenodo upon acceptance. The repository contains the SG/FV reference solver, the 240-state dataset and the 384-state expansion used for the scaling study, the training and evaluation scripts, the Stage-10 ablation, scaling, and identifiability scripts, the Stage-11 constraint and Fisher-validation scripts, the Stage-12 diagnostics, the ONNX models, the browser simulator, and the Gradio application.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References</w:t>
      </w:r>
    </w:p>
    <w:p>
      <w:pPr>
        <w:spacing w:after="60"/>
        <w:ind w:left="605" w:hanging="605"/>
      </w:pPr>
      <w:r>
        <w:t xml:space="preserve">[1] Kasianowicz, John J., Brandin, Eric, Branton, Daniel, et al. (1996). Characterization of individual polynucleotide molecules using a membrane channel </w:t>
      </w:r>
      <w:r>
        <w:rPr>
          <w:i/>
        </w:rPr>
        <w:t>Proceedings of the National Academy of Sciences</w:t>
      </w:r>
      <w:r>
        <w:t>. doi:10.1073/pnas.93.24.13770</w:t>
      </w:r>
    </w:p>
    <w:p>
      <w:pPr>
        <w:spacing w:after="60"/>
        <w:ind w:left="605" w:hanging="605"/>
      </w:pPr>
      <w:r>
        <w:t xml:space="preserve">[2] Dekker, Cees (2007). Solid-state nanopores </w:t>
      </w:r>
      <w:r>
        <w:rPr>
          <w:i/>
        </w:rPr>
        <w:t>Nature Nanotechnology</w:t>
      </w:r>
      <w:r>
        <w:t>. doi:10.1038/nnano.2007.27</w:t>
      </w:r>
    </w:p>
    <w:p>
      <w:pPr>
        <w:spacing w:after="60"/>
        <w:ind w:left="605" w:hanging="605"/>
      </w:pPr>
      <w:r>
        <w:t xml:space="preserve">[3] Branton, Daniel, Deamer, David W, Marziali, Andre, et al. (2008). The potential and challenges of nanopore sequencing </w:t>
      </w:r>
      <w:r>
        <w:rPr>
          <w:i/>
        </w:rPr>
        <w:t>Nature Biotechnology</w:t>
      </w:r>
      <w:r>
        <w:t>. doi:10.1038/nbt.1495</w:t>
      </w:r>
    </w:p>
    <w:p>
      <w:pPr>
        <w:spacing w:after="60"/>
        <w:ind w:left="605" w:hanging="605"/>
      </w:pPr>
      <w:r>
        <w:t xml:space="preserve">[4] Howorka, Stefan, Siwy, Zuzanna (2009). Nanopore analytics: sensing of single molecules </w:t>
      </w:r>
      <w:r>
        <w:rPr>
          <w:i/>
        </w:rPr>
        <w:t>Chemical Society Reviews</w:t>
      </w:r>
      <w:r>
        <w:t>. doi:10.1039/b813796j</w:t>
      </w:r>
    </w:p>
    <w:p>
      <w:pPr>
        <w:spacing w:after="60"/>
        <w:ind w:left="605" w:hanging="605"/>
      </w:pPr>
      <w:r>
        <w:t xml:space="preserve">[5] Venkatesan, Bala Murali, Bashir, Rashid (2011). Nanopore sensors for nucleic acid analysis </w:t>
      </w:r>
      <w:r>
        <w:rPr>
          <w:i/>
        </w:rPr>
        <w:t>Nature Nanotechnology</w:t>
      </w:r>
      <w:r>
        <w:t>. doi:10.1038/nnano.2011.129</w:t>
      </w:r>
    </w:p>
    <w:p>
      <w:pPr>
        <w:spacing w:after="60"/>
        <w:ind w:left="605" w:hanging="605"/>
      </w:pPr>
      <w:r>
        <w:t xml:space="preserve">[6] Wanunu, Meni (2012). Nanopores: A journey towards DNA sequencing </w:t>
      </w:r>
      <w:r>
        <w:rPr>
          <w:i/>
        </w:rPr>
        <w:t>Physics of Life Reviews</w:t>
      </w:r>
      <w:r>
        <w:t>. doi:10.1016/j.plrev.2012.05.010</w:t>
      </w:r>
    </w:p>
    <w:p>
      <w:pPr>
        <w:spacing w:after="60"/>
        <w:ind w:left="605" w:hanging="605"/>
      </w:pPr>
      <w:r>
        <w:t xml:space="preserve">[7] Stein, Derek, Kruithof, Maarten, Dekker, Cees (2004). Surface-Charge-Governed Ion Transport in Nanofluidic Channels </w:t>
      </w:r>
      <w:r>
        <w:rPr>
          <w:i/>
        </w:rPr>
        <w:t>Physical Review Letters</w:t>
      </w:r>
      <w:r>
        <w:t>. doi:10.1103/physrevlett.93.035901</w:t>
      </w:r>
    </w:p>
    <w:p>
      <w:pPr>
        <w:spacing w:after="60"/>
        <w:ind w:left="605" w:hanging="605"/>
      </w:pPr>
      <w:r>
        <w:t xml:space="preserve">[8] Schoch, Reto B., Han, Jongyoon, Renaud, Philippe (2008). Transport phenomena in nanofluidics </w:t>
      </w:r>
      <w:r>
        <w:rPr>
          <w:i/>
        </w:rPr>
        <w:t>Reviews of Modern Physics</w:t>
      </w:r>
      <w:r>
        <w:t>. doi:10.1103/revmodphys.80.839</w:t>
      </w:r>
    </w:p>
    <w:p>
      <w:pPr>
        <w:spacing w:after="60"/>
        <w:ind w:left="605" w:hanging="605"/>
      </w:pPr>
      <w:r>
        <w:t xml:space="preserve">[9] Bocquet, Lydéric, Charlaix, Elisabeth (2010). Nanofluidics, from bulk to interfaces </w:t>
      </w:r>
      <w:r>
        <w:rPr>
          <w:i/>
        </w:rPr>
        <w:t>Chem. Soc. Rev.</w:t>
      </w:r>
      <w:r>
        <w:t>. doi:10.1039/b909366b</w:t>
      </w:r>
    </w:p>
    <w:p>
      <w:pPr>
        <w:spacing w:after="60"/>
        <w:ind w:left="605" w:hanging="605"/>
      </w:pPr>
      <w:r>
        <w:t xml:space="preserve">[10] Daiguji, Hirofumi (2010). Ion transport in nanofluidic channels </w:t>
      </w:r>
      <w:r>
        <w:rPr>
          <w:i/>
        </w:rPr>
        <w:t>Chem. Soc. Rev.</w:t>
      </w:r>
      <w:r>
        <w:t>. doi:10.1039/b820556f</w:t>
      </w:r>
    </w:p>
    <w:p>
      <w:pPr>
        <w:spacing w:after="60"/>
        <w:ind w:left="605" w:hanging="605"/>
      </w:pPr>
      <w:r>
        <w:t xml:space="preserve">[11] Tagliazucchi, Mario, Szleifer, Igal (2015). Transport mechanisms in nanopores and nanochannels: can we mimic nature? </w:t>
      </w:r>
      <w:r>
        <w:rPr>
          <w:i/>
        </w:rPr>
        <w:t>Materials Today</w:t>
      </w:r>
      <w:r>
        <w:t>. doi:10.1016/j.mattod.2014.10.020</w:t>
      </w:r>
    </w:p>
    <w:p>
      <w:pPr>
        <w:spacing w:after="60"/>
        <w:ind w:left="605" w:hanging="605"/>
      </w:pPr>
      <w:r>
        <w:t xml:space="preserve">[12] Karnik, Rohit, Fan, Rong, Yue, Min, et al. (2005). Electrostatic Control of Ions and Molecules in Nanofluidic Transistors </w:t>
      </w:r>
      <w:r>
        <w:rPr>
          <w:i/>
        </w:rPr>
        <w:t>Nano Letters</w:t>
      </w:r>
      <w:r>
        <w:t>. doi:10.1021/nl050493b</w:t>
      </w:r>
    </w:p>
    <w:p>
      <w:pPr>
        <w:spacing w:after="60"/>
        <w:ind w:left="605" w:hanging="605"/>
      </w:pPr>
      <w:r>
        <w:t xml:space="preserve">[13] Smeets, Ralph M. M., Keyser, Ulrich F., Krapf, Diego, et al. (2005). Salt Dependence of Ion Transport and DNA Translocation through Solid-State Nanopores </w:t>
      </w:r>
      <w:r>
        <w:rPr>
          <w:i/>
        </w:rPr>
        <w:t>Nano Letters</w:t>
      </w:r>
      <w:r>
        <w:t>. doi:10.1021/nl052107w</w:t>
      </w:r>
    </w:p>
    <w:p>
      <w:pPr>
        <w:spacing w:after="60"/>
        <w:ind w:left="605" w:hanging="605"/>
      </w:pPr>
      <w:r>
        <w:t xml:space="preserve">[14] Kosińska, I. D., Goychuk, I., Kostur, M., et al. (2008). Rectification in synthetic conical nanopores: A one-dimensional Poisson-Nernst-Planck model </w:t>
      </w:r>
      <w:r>
        <w:rPr>
          <w:i/>
        </w:rPr>
        <w:t>Physical Review E</w:t>
      </w:r>
      <w:r>
        <w:t>. doi:10.1103/physreve.77.031131</w:t>
      </w:r>
    </w:p>
    <w:p>
      <w:pPr>
        <w:spacing w:after="60"/>
        <w:ind w:left="605" w:hanging="605"/>
      </w:pPr>
      <w:r>
        <w:t xml:space="preserve">[15] 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spacing w:after="60"/>
        <w:ind w:left="605" w:hanging="605"/>
      </w:pPr>
      <w:r>
        <w:t xml:space="preserve">[16] Ma, Pengfei, Zheng, Jianxiang, Zhao, Danting, et al. (2021). The Selective Transport of Ions in Charged Nanopore with Combined Multi-Physics Fields </w:t>
      </w:r>
      <w:r>
        <w:rPr>
          <w:i/>
        </w:rPr>
        <w:t>Materials</w:t>
      </w:r>
      <w:r>
        <w:t>. doi:10.3390/ma14227012</w:t>
      </w:r>
    </w:p>
    <w:p>
      <w:pPr>
        <w:spacing w:after="60"/>
        <w:ind w:left="605" w:hanging="605"/>
      </w:pPr>
      <w:r>
        <w:t xml:space="preserve">[17] Coalson, R.D., Kurnikova, M.G. (2005). Poisson–Nernst–Planck Theory Approach to the Calculation of Current Through Biological Ion Channels </w:t>
      </w:r>
      <w:r>
        <w:rPr>
          <w:i/>
        </w:rPr>
        <w:t>IEEE Transactions on Nanobioscience</w:t>
      </w:r>
      <w:r>
        <w:t>. doi:10.1109/tnb.2004.842495</w:t>
      </w:r>
    </w:p>
    <w:p>
      <w:pPr>
        <w:spacing w:after="60"/>
        <w:ind w:left="605" w:hanging="605"/>
      </w:pPr>
      <w:r>
        <w:t xml:space="preserve">[18] Eisenberg, Bob, Liu, Weishi (2007). Poisson–Nernst–Planck Systems for Ion Channels with Permanent Charges </w:t>
      </w:r>
      <w:r>
        <w:rPr>
          <w:i/>
        </w:rPr>
        <w:t>SIAM Journal on Mathematical Analysis</w:t>
      </w:r>
      <w:r>
        <w:t>. doi:10.1137/060657480</w:t>
      </w:r>
    </w:p>
    <w:p>
      <w:pPr>
        <w:spacing w:after="60"/>
        <w:ind w:left="605" w:hanging="605"/>
      </w:pPr>
      <w:r>
        <w:t xml:space="preserve">[19] Zheng, Qiong, Chen, Duan, Wei, Guo-Wei (2011). Second-order Poisson–Nernst–Planck solver for ion transport </w:t>
      </w:r>
      <w:r>
        <w:rPr>
          <w:i/>
        </w:rPr>
        <w:t>Journal of Computational Physics</w:t>
      </w:r>
      <w:r>
        <w:t>. doi:10.1016/j.jcp.2011.03.020</w:t>
      </w:r>
    </w:p>
    <w:p>
      <w:pPr>
        <w:spacing w:after="60"/>
        <w:ind w:left="605" w:hanging="605"/>
      </w:pPr>
      <w:r>
        <w:t xml:space="preserve">[20] Zhuorui Song (2021). Electrokinetic Flow in a Nanochannel with an Overlapped Electrical Double Layer </w:t>
      </w:r>
      <w:r>
        <w:rPr>
          <w:i/>
        </w:rPr>
        <w:t>Digital Commons - USU (Utah State University)</w:t>
      </w:r>
      <w:r>
        <w:t>. doi:10.26076/a748-e85a</w:t>
      </w:r>
    </w:p>
    <w:p>
      <w:pPr>
        <w:spacing w:after="60"/>
        <w:ind w:left="605" w:hanging="605"/>
      </w:pPr>
      <w:r>
        <w:t xml:space="preserve">[21] Haosen Xu, Jianbo Zhang, Michael Hermann Eikerling, et al. (2024). Pure Water Splitting Driven by Overlapping Electric Double Layers </w:t>
      </w:r>
      <w:r>
        <w:rPr>
          <w:i/>
        </w:rPr>
        <w:t>Journal of the American Chemical Society</w:t>
      </w:r>
      <w:r>
        <w:t>. doi:10.1021/jacs.4c01070</w:t>
      </w:r>
    </w:p>
    <w:p>
      <w:pPr>
        <w:spacing w:after="60"/>
        <w:ind w:left="605" w:hanging="605"/>
      </w:pPr>
      <w:r>
        <w:t xml:space="preserve">[22] Cody L. Ritt, J. Pedro de Souza, Michelle G. Barsukov, et al. (2022). Thermodynamics of Charge Regulation during Ion Transport through Silica Nanochannels </w:t>
      </w:r>
      <w:r>
        <w:rPr>
          <w:i/>
        </w:rPr>
        <w:t>ACS Nano</w:t>
      </w:r>
      <w:r>
        <w:t>. doi:10.1021/acsnano.2c06633</w:t>
      </w:r>
    </w:p>
    <w:p>
      <w:pPr>
        <w:spacing w:after="60"/>
        <w:ind w:left="605" w:hanging="605"/>
      </w:pPr>
      <w:r>
        <w:t xml:space="preserve">[23] Baisakhi Pal, Poulami Dutta, Sourav Chowdhury, et al. (2026). Electroosmotic Dispersion of Uncharged Solutes through a Nanochannel </w:t>
      </w:r>
      <w:r>
        <w:rPr>
          <w:i/>
        </w:rPr>
        <w:t>Industrial &amp; Engineering Chemistry Research</w:t>
      </w:r>
      <w:r>
        <w:t>. doi:10.1021/acs.iecr.6c00231</w:t>
      </w:r>
    </w:p>
    <w:p>
      <w:pPr>
        <w:spacing w:after="60"/>
        <w:ind w:left="605" w:hanging="605"/>
      </w:pPr>
      <w:r>
        <w:t xml:space="preserve">[24] Tim M. Kamsma, Jaehyun Kim, Kyungjun Kim, et al. (2024). Brain-inspired computing with fluidic iontronic nanochannels </w:t>
      </w:r>
      <w:r>
        <w:rPr>
          <w:i/>
        </w:rPr>
        <w:t>Proceedings of the National Academy of Sciences</w:t>
      </w:r>
      <w:r>
        <w:t>. doi:10.1073/pnas.2320242121</w:t>
      </w:r>
    </w:p>
    <w:p>
      <w:pPr>
        <w:spacing w:after="60"/>
        <w:ind w:left="605" w:hanging="605"/>
      </w:pPr>
      <w:r>
        <w:t xml:space="preserve">[25] Olga I. Vinogradova, Elena F. Silkina (2023). Electrophoresis of ions and electrolyte conductivity: From bulk to nanochannels </w:t>
      </w:r>
      <w:r>
        <w:rPr>
          <w:i/>
        </w:rPr>
        <w:t>The Journal of Chemical Physics</w:t>
      </w:r>
      <w:r>
        <w:t>. doi:10.1063/5.0168557</w:t>
      </w:r>
    </w:p>
    <w:p>
      <w:pPr>
        <w:spacing w:after="60"/>
        <w:ind w:left="605" w:hanging="605"/>
      </w:pPr>
      <w:r>
        <w:t xml:space="preserve">[26] Scharfetter, D.L., Gummel, H.K. (1969). Large-signal analysis of a silicon Read diode oscillator </w:t>
      </w:r>
      <w:r>
        <w:rPr>
          <w:i/>
        </w:rPr>
        <w:t>IEEE Transactions on Electron Devices</w:t>
      </w:r>
      <w:r>
        <w:t>. doi:10.1109/t-ed.1969.16566</w:t>
      </w:r>
    </w:p>
    <w:p>
      <w:pPr>
        <w:spacing w:after="60"/>
        <w:ind w:left="605" w:hanging="605"/>
      </w:pPr>
      <w:r>
        <w:t xml:space="preserve">[27] Miller, J. J. H., Wang, Song (1994). An analysis of the Scharfetter-Gummel box method for the stationary semiconductor device equations </w:t>
      </w:r>
      <w:r>
        <w:rPr>
          <w:i/>
        </w:rPr>
        <w:t>ESAIM: Mathematical Modelling and Numerical Analysis</w:t>
      </w:r>
      <w:r>
        <w:t>. doi:10.1051/m2an/1994280201231</w:t>
      </w:r>
    </w:p>
    <w:p>
      <w:pPr>
        <w:spacing w:after="60"/>
        <w:ind w:left="605" w:hanging="605"/>
      </w:pPr>
      <w:r>
        <w:t xml:space="preserve">[28] 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spacing w:after="60"/>
        <w:ind w:left="605" w:hanging="605"/>
      </w:pPr>
      <w:r>
        <w:t xml:space="preserve">[29] Karniadakis, George Em, Kevrekidis, Ioannis G., Lu, Lu, et al. (2021). Physics-informed machine learning </w:t>
      </w:r>
      <w:r>
        <w:rPr>
          <w:i/>
        </w:rPr>
        <w:t>Nature Reviews Physics</w:t>
      </w:r>
      <w:r>
        <w:t>. doi:10.1038/s42254-021-00314-5</w:t>
      </w:r>
    </w:p>
    <w:p>
      <w:pPr>
        <w:spacing w:after="60"/>
        <w:ind w:left="605" w:hanging="605"/>
      </w:pPr>
      <w:r>
        <w:t xml:space="preserve">[30] Lu, Lu, Meng, Xuhui, Mao, Zhiping, et al. (2021). DeepXDE: A Deep Learning Library for Solving Differential Equations </w:t>
      </w:r>
      <w:r>
        <w:rPr>
          <w:i/>
        </w:rPr>
        <w:t>SIAM Review</w:t>
      </w:r>
      <w:r>
        <w:t>. doi:10.1137/19m1274067</w:t>
      </w:r>
    </w:p>
    <w:p>
      <w:pPr>
        <w:spacing w:after="60"/>
        <w:ind w:left="605" w:hanging="605"/>
      </w:pPr>
      <w:r>
        <w:t xml:space="preserve">[31] Lagaris, I.E., Likas, A., Fotiadis, D.I. (1998). Artificial neural networks for solving ordinary and partial differential equations </w:t>
      </w:r>
      <w:r>
        <w:rPr>
          <w:i/>
        </w:rPr>
        <w:t>IEEE Transactions on Neural Networks</w:t>
      </w:r>
      <w:r>
        <w:t>. doi:10.1109/72.712178</w:t>
      </w:r>
    </w:p>
    <w:p>
      <w:pPr>
        <w:spacing w:after="60"/>
        <w:ind w:left="605" w:hanging="605"/>
      </w:pPr>
      <w:r>
        <w:t xml:space="preserve">[32] Wang, Sifan, Teng, Yujun, Perdikaris, Paris (2021). Understanding and Mitigating Gradient Flow Pathologies in Physics-Informed Neural Networks </w:t>
      </w:r>
      <w:r>
        <w:rPr>
          <w:i/>
        </w:rPr>
        <w:t>SIAM Journal on Scientific Computing</w:t>
      </w:r>
      <w:r>
        <w:t>. doi:10.1137/20m1318043</w:t>
      </w:r>
    </w:p>
    <w:p>
      <w:pPr>
        <w:spacing w:after="60"/>
        <w:ind w:left="605" w:hanging="605"/>
      </w:pPr>
      <w:r>
        <w:t xml:space="preserve">[33] Krishnapriyan, Aditi S., Gholami, Amir, Zhe, Shandian, et al. (2021). Characterizing possible failure modes in physics-informed neural networks </w:t>
      </w:r>
      <w:r>
        <w:rPr>
          <w:i/>
        </w:rPr>
        <w:t>Advances in Neural Information Processing Systems</w:t>
      </w:r>
      <w:r>
        <w:t>. doi:10.48550/arxiv.2109.01050</w:t>
      </w:r>
    </w:p>
    <w:p>
      <w:pPr>
        <w:spacing w:after="60"/>
        <w:ind w:left="605" w:hanging="605"/>
      </w:pPr>
      <w:r>
        <w:t xml:space="preserve">[34] Sukumar, N., Srivastava, Ankit (2022). Exact imposition of boundary conditions with distance functions in physics-informed deep neural networks </w:t>
      </w:r>
      <w:r>
        <w:rPr>
          <w:i/>
        </w:rPr>
        <w:t>Computer Methods in Applied Mechanics and Engineering</w:t>
      </w:r>
      <w:r>
        <w:t>. doi:10.1016/j.cma.2021.114333</w:t>
      </w:r>
    </w:p>
    <w:p>
      <w:pPr>
        <w:spacing w:after="60"/>
        <w:ind w:left="605" w:hanging="605"/>
      </w:pPr>
      <w:r>
        <w:t xml:space="preserve">[35] Shaikhah Alkhadhr, Mohamed Khaled Almekkawy (2023). Wave Equation Modeling via Physics-Informed Neural Networks: Models of Soft and Hard Constraints for Initial and Boundary Conditions </w:t>
      </w:r>
      <w:r>
        <w:rPr>
          <w:i/>
        </w:rPr>
        <w:t>Sensors</w:t>
      </w:r>
      <w:r>
        <w:t>. doi:10.3390/s23052792</w:t>
      </w:r>
    </w:p>
    <w:p>
      <w:pPr>
        <w:spacing w:after="60"/>
        <w:ind w:left="605" w:hanging="605"/>
      </w:pPr>
      <w:r>
        <w:t xml:space="preserve">[36] 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spacing w:after="60"/>
        <w:ind w:left="605" w:hanging="605"/>
      </w:pPr>
      <w:r>
        <w:t xml:space="preserve">[37] Mohammad Sheikholeslami, Saeed Salehi, Wengang Mao, et al. (2025). Physics-informed neural networks with hard and soft boundary conditions for linear free surface waves </w:t>
      </w:r>
      <w:r>
        <w:rPr>
          <w:i/>
        </w:rPr>
        <w:t>Physics of Fluids</w:t>
      </w:r>
      <w:r>
        <w:t>. doi:10.1063/5.0277421</w:t>
      </w:r>
    </w:p>
    <w:p>
      <w:pPr>
        <w:spacing w:after="60"/>
        <w:ind w:left="605" w:hanging="605"/>
      </w:pPr>
      <w:r>
        <w:t xml:space="preserve">[38] Peng Lan, Jing-jing Su, Xin-yan Ma, et al. (2023). Application of improved physics-informed neural networks for nonlinear consolidation problems with continuous drainage boundary conditions </w:t>
      </w:r>
      <w:r>
        <w:rPr>
          <w:i/>
        </w:rPr>
        <w:t>Acta Geotechnica</w:t>
      </w:r>
      <w:r>
        <w:t>. doi:10.1007/s11440-023-01899-0</w:t>
      </w:r>
    </w:p>
    <w:p>
      <w:pPr>
        <w:spacing w:after="60"/>
        <w:ind w:left="605" w:hanging="605"/>
      </w:pPr>
      <w:r>
        <w:t xml:space="preserve">[39] Stefano Berrone, Claudio Canuto, Moreno Pintore, et al. (2023). Enforcing Dirichlet boundary conditions in physics-informed neural networks and variational physics-informed neural networks </w:t>
      </w:r>
      <w:r>
        <w:rPr>
          <w:i/>
        </w:rPr>
        <w:t>Heliyon</w:t>
      </w:r>
      <w:r>
        <w:t>. doi:10.1016/j.heliyon.2023.e18820</w:t>
      </w:r>
    </w:p>
    <w:p>
      <w:pPr>
        <w:spacing w:after="60"/>
        <w:ind w:left="605" w:hanging="605"/>
      </w:pPr>
      <w:r>
        <w:t xml:space="preserve">[40] Xinquan Huang, Tariq A. Alkhalifah (2024). Microseismic Source Imaging Using Physics-Informed Neural Networks With Hard Constraints </w:t>
      </w:r>
      <w:r>
        <w:rPr>
          <w:i/>
        </w:rPr>
        <w:t>IEEE Transactions on Geoscience and Remote Sensing</w:t>
      </w:r>
      <w:r>
        <w:t>. doi:10.1109/tgrs.2024.3366449</w:t>
      </w:r>
    </w:p>
    <w:p>
      <w:pPr>
        <w:spacing w:after="60"/>
        <w:ind w:left="605" w:hanging="605"/>
      </w:pPr>
      <w:r>
        <w:t xml:space="preserve">[41] 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spacing w:after="60"/>
        <w:ind w:left="605" w:hanging="605"/>
      </w:pPr>
      <w:r>
        <w:t xml:space="preserve">[42] Huang, Xujia, Wang, Fajie, Zhang, Benrong, et al. (2025). Enriched physics-informed neural networks for dynamic Poisson-Nernst-Planck systems </w:t>
      </w:r>
      <w:r>
        <w:rPr>
          <w:i/>
        </w:rPr>
        <w:t>Mathematics and Computers in Simulation</w:t>
      </w:r>
      <w:r>
        <w:t>. doi:10.1016/j.matcom.2025.04.037</w:t>
      </w:r>
    </w:p>
    <w:p>
      <w:pPr>
        <w:spacing w:after="60"/>
        <w:ind w:left="605" w:hanging="605"/>
      </w:pPr>
      <w:r>
        <w:t xml:space="preserve">[43] Zheng, Jinglai, Huang, Jie, Huang, Haiming (2025). Physics-informed neural networks for solving thermal response of charring materials </w:t>
      </w:r>
      <w:r>
        <w:rPr>
          <w:i/>
        </w:rPr>
        <w:t>Acta Astronautica</w:t>
      </w:r>
      <w:r>
        <w:t>. doi:10.1016/j.actaastro.2025.07.010</w:t>
      </w:r>
    </w:p>
    <w:p>
      <w:pPr>
        <w:spacing w:after="60"/>
        <w:ind w:left="605" w:hanging="605"/>
      </w:pPr>
      <w:r>
        <w:t xml:space="preserve">[44] Zheng, Jinglai, Hu, Hanying, Huang, Jie, et al. (2025). CF-DeepONet: Deep operator neural networks for solving compressible flows </w:t>
      </w:r>
      <w:r>
        <w:rPr>
          <w:i/>
        </w:rPr>
        <w:t>Aerospace Science and Technology</w:t>
      </w:r>
      <w:r>
        <w:t>. doi:10.1016/j.ast.2025.110329</w:t>
      </w:r>
    </w:p>
    <w:p>
      <w:pPr>
        <w:spacing w:after="60"/>
        <w:ind w:left="605" w:hanging="605"/>
      </w:pPr>
      <w:r>
        <w:t xml:space="preserve">[45] Zheng, Jinglai, Li, Fan, Huang, Haiming (2024). T-phPINN: Physics-informed neural networks for solving 2D non-Fourier heat conduction equations </w:t>
      </w:r>
      <w:r>
        <w:rPr>
          <w:i/>
        </w:rPr>
        <w:t>International Journal of Heat and Mass Transfer</w:t>
      </w:r>
      <w:r>
        <w:t>. doi:10.1016/j.ijheatmasstransfer.2024.126216</w:t>
      </w:r>
    </w:p>
    <w:p>
      <w:pPr>
        <w:spacing w:after="60"/>
        <w:ind w:left="605" w:hanging="605"/>
      </w:pPr>
      <w:r>
        <w:t xml:space="preserve">[46] Wei, Congxin, Pang, Haikuo, Huang, Teng, et al. (2026). Predicting lithium-ion battery health using attention mechanism with Kolmogorov-Arnold and physics-informed neural networks </w:t>
      </w:r>
      <w:r>
        <w:rPr>
          <w:i/>
        </w:rPr>
        <w:t>Expert Systems with Applications</w:t>
      </w:r>
      <w:r>
        <w:t>. doi:10.1016/j.eswa.2025.128969</w:t>
      </w:r>
    </w:p>
    <w:p>
      <w:pPr>
        <w:spacing w:after="60"/>
        <w:ind w:left="605" w:hanging="605"/>
      </w:pPr>
      <w:r>
        <w:t xml:space="preserve">[47] Lu Lu, Pengzhan Jin, Guofei Pang, et al. (2021). Learning nonlinear operators via DeepONet based on the universal approximation theorem of operators </w:t>
      </w:r>
      <w:r>
        <w:rPr>
          <w:i/>
        </w:rPr>
        <w:t>Nature Machine Intelligence</w:t>
      </w:r>
      <w:r>
        <w:t>. doi:10.1038/s42256-021-00302-5</w:t>
      </w:r>
    </w:p>
    <w:p>
      <w:pPr>
        <w:spacing w:after="60"/>
        <w:ind w:left="605" w:hanging="605"/>
      </w:pPr>
      <w:r>
        <w:t xml:space="preserve">[48] Samuel Lanthaler, Siddhartha Mishra, George Em Karniadakis (2022). Error estimates for DeepONets: a deep learning framework in infinite dimensions </w:t>
      </w:r>
      <w:r>
        <w:rPr>
          <w:i/>
        </w:rPr>
        <w:t>Transactions of Mathematics and Its Applications</w:t>
      </w:r>
      <w:r>
        <w:t>. doi:10.1093/imatrm/tnac001</w:t>
      </w:r>
    </w:p>
    <w:p>
      <w:pPr>
        <w:spacing w:after="60"/>
        <w:ind w:left="605" w:hanging="605"/>
      </w:pPr>
      <w:r>
        <w:t xml:space="preserve">[49] Sifan Wang, Hanwen Wang, Paris G. Perdikaris (2021). Learning the solution operator of parametric partial differential equations with physics-informed DeepONets </w:t>
      </w:r>
      <w:r>
        <w:rPr>
          <w:i/>
        </w:rPr>
        <w:t>Science Advances</w:t>
      </w:r>
      <w:r>
        <w:t>. doi:10.1126/sciadv.abi8605</w:t>
      </w:r>
    </w:p>
    <w:p>
      <w:pPr>
        <w:spacing w:after="60"/>
        <w:ind w:left="605" w:hanging="605"/>
      </w:pPr>
      <w:r>
        <w:t xml:space="preserve">[50] Hwijae Son (2025). ELM-DeepONets: Backpropagation-Free Training of Deep Operator Networks via Extreme Learning Machines </w:t>
      </w:r>
      <w:r>
        <w:rPr>
          <w:i/>
        </w:rPr>
        <w:t>IEEE Access</w:t>
      </w:r>
      <w:r>
        <w:t>. doi:10.1109/access.2025.3570502</w:t>
      </w:r>
    </w:p>
    <w:p>
      <w:pPr>
        <w:spacing w:after="60"/>
        <w:ind w:left="605" w:hanging="605"/>
      </w:pPr>
      <w:r>
        <w:t xml:space="preserve">[51] Qiuying Ma, Xinghan Jiang, Xinlong Guo, et al. (2025). Layer-Interaction DeepONet for Modeling Ultrafast Nonlinear Dynamics in Optical Fibers </w:t>
      </w:r>
      <w:r>
        <w:rPr>
          <w:i/>
        </w:rPr>
        <w:t>Journal of Lightwave Technology</w:t>
      </w:r>
      <w:r>
        <w:t>. doi:10.1109/jlt.2025.3598027</w:t>
      </w:r>
    </w:p>
    <w:p>
      <w:pPr>
        <w:spacing w:after="60"/>
        <w:ind w:left="605" w:hanging="605"/>
      </w:pPr>
      <w:r>
        <w:t xml:space="preserve">[52] Samuel Lanthaler, Zongyi Li, Andrew M. Stuart (2025). Nonlocality and Nonlinearity Implies Universality in Operator Learning </w:t>
      </w:r>
      <w:r>
        <w:rPr>
          <w:i/>
        </w:rPr>
        <w:t>Constructive Approximation</w:t>
      </w:r>
      <w:r>
        <w:t>. doi:10.1007/s00365-025-09718-3</w:t>
      </w:r>
    </w:p>
    <w:p>
      <w:pPr>
        <w:spacing w:after="60"/>
        <w:ind w:left="605" w:hanging="605"/>
      </w:pPr>
      <w:r>
        <w:t xml:space="preserve">[53] Yongjin Choi, Chenying Liu, Jorge Macedo (2026). Operator learning for consolidation: An architectural comparison for DeepONet variants </w:t>
      </w:r>
      <w:r>
        <w:rPr>
          <w:i/>
        </w:rPr>
        <w:t>Computers and Geotechnics</w:t>
      </w:r>
      <w:r>
        <w:t>. doi:10.1016/j.compgeo.2026.108017</w:t>
      </w:r>
    </w:p>
    <w:p>
      <w:pPr>
        <w:spacing w:after="60"/>
        <w:ind w:left="605" w:hanging="605"/>
      </w:pPr>
      <w:r>
        <w:t xml:space="preserve">[54] Hailong Sheng, Yulin Xie, Chao Yang (2025). XFNO: Extended Fourier neural operator for solving parametric partial differential equations on general geometries </w:t>
      </w:r>
      <w:r>
        <w:rPr>
          <w:i/>
        </w:rPr>
        <w:t>Computer Physics Communications</w:t>
      </w:r>
      <w:r>
        <w:t>. doi:10.1016/j.cpc.2025.109774</w:t>
      </w:r>
    </w:p>
    <w:p>
      <w:pPr>
        <w:spacing w:after="60"/>
        <w:ind w:left="605" w:hanging="605"/>
      </w:pPr>
      <w:r>
        <w:t xml:space="preserve">[55] Kai Qi, Jian Sun (2024). Gabor-Filtered Fourier Neural Operator for solving Partial Differential Equations </w:t>
      </w:r>
      <w:r>
        <w:rPr>
          <w:i/>
        </w:rPr>
        <w:t>Computers &amp; Fluids</w:t>
      </w:r>
      <w:r>
        <w:t>. doi:10.1016/j.compfluid.2024.106239</w:t>
      </w:r>
    </w:p>
    <w:p>
      <w:pPr>
        <w:spacing w:after="60"/>
        <w:ind w:left="605" w:hanging="605"/>
      </w:pPr>
      <w:r>
        <w:t xml:space="preserve">[56] Kangjie Li, Wenjing Ye (2025). D-FNO: A decomposed Fourier neural operator for large-scale parametric partial differential equations </w:t>
      </w:r>
      <w:r>
        <w:rPr>
          <w:i/>
        </w:rPr>
        <w:t>Computer Methods in Applied Mechanics and Engineering</w:t>
      </w:r>
      <w:r>
        <w:t>. doi:10.1016/j.cma.2025.117732</w:t>
      </w:r>
    </w:p>
    <w:p>
      <w:pPr>
        <w:spacing w:after="60"/>
        <w:ind w:left="605" w:hanging="605"/>
      </w:pPr>
      <w:r>
        <w:t xml:space="preserve">[57] Zhang, Tao, Xiao, Hui, Ghosh, Debdulal (2025). Physics-informed fourier neural operators: A machine learning method for parametric partial differential equations </w:t>
      </w:r>
      <w:r>
        <w:rPr>
          <w:i/>
        </w:rPr>
        <w:t>Journal of Nonlinear and Variational Analysis</w:t>
      </w:r>
      <w:r>
        <w:t xml:space="preserve"> 9(1), 45–64. doi:10.23952/jnva.9.2025.1.04</w:t>
      </w:r>
    </w:p>
    <w:p>
      <w:pPr>
        <w:spacing w:after="60"/>
        <w:ind w:left="605" w:hanging="605"/>
      </w:pPr>
      <w:r>
        <w:t xml:space="preserve">[58] Zongyi Li, Hongkai Zheng, Nikola Kovachki, et al. (2024). Physics-Informed Neural Operator for Learning Partial Differential Equations </w:t>
      </w:r>
      <w:r>
        <w:rPr>
          <w:i/>
        </w:rPr>
        <w:t>ACM / IMS Journal of Data Science</w:t>
      </w:r>
      <w:r>
        <w:t>. doi:10.1145/3648506</w:t>
      </w:r>
    </w:p>
    <w:p>
      <w:pPr>
        <w:spacing w:after="60"/>
        <w:ind w:left="605" w:hanging="605"/>
      </w:pPr>
      <w:r>
        <w:t xml:space="preserve">[59] Hugo Melchers, Joost Prins, Michael Abdelmalik (2026). Neural Green’s operators for parametric partial differential equations </w:t>
      </w:r>
      <w:r>
        <w:rPr>
          <w:i/>
        </w:rPr>
        <w:t>Computer Methods in Applied Mechanics and Engineering</w:t>
      </w:r>
      <w:r>
        <w:t>. doi:10.1016/j.cma.2026.118893</w:t>
      </w:r>
    </w:p>
    <w:p>
      <w:pPr>
        <w:spacing w:after="60"/>
        <w:ind w:left="605" w:hanging="605"/>
      </w:pPr>
      <w:r>
        <w:t xml:space="preserve">[60] Muhammad Tahir Rafiq, Ghazala Rafiq, Ho-Youl Jung, et al. (2022). SSNO: Spatio-Spectral Neural Operator for Functional Space Learning of Partial Differential Equations </w:t>
      </w:r>
      <w:r>
        <w:rPr>
          <w:i/>
        </w:rPr>
        <w:t>IEEE Access</w:t>
      </w:r>
      <w:r>
        <w:t>. doi:10.1109/access.2022.3148401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