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Computer Physics Communications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"Sensitivity-controlled physics-constrained neural operators and conductance identifiability limits for Poisson--Nernst--Planck transport in charged nanopores"</w:t>
      </w:r>
      <w:r>
        <w:t xml:space="preserve"> for consideration at </w:t>
      </w:r>
      <w:r>
        <w:rPr>
          <w:i/>
        </w:rPr>
        <w:t>Computer Physics Communications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Computer Physics Communications</w:t>
      </w:r>
      <w:r>
        <w:t xml:space="preserve"> because its primary deliverable is a reusable, documented, and reproducible computational package. The submission includes a CPC Program Summary, an MIT-licensed public repository, trained PyTorch and ONNX models, a serverless browser simulator, and a full reproducibility package with archived result files. The study is framed explicitly as a computational-physics instrument: its contribution is the elimination of per-state retraining for design, uncertainty-quantification, and inverse workflows, not a claim of superiority over specialized solvers.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15-state, 20-realization study reveal a physical conductance identifiability boundary: dual current–plus–near-wall-selectivity inversion recovers the pore radius to 0.10% and the surface charge to 4.8%, whereas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bounded reversal-potential result.</w:t>
      </w:r>
      <w:r>
        <w:t xml:space="preserve"> A Weyl-gated SG/FV correction preserves a median current error of </w:t>
      </w:r>
      <m:oMath xmlns:a="http://schemas.openxmlformats.org/drawingml/2006/main" xmlns:pic="http://schemas.openxmlformats.org/drawingml/2006/picture">
        <m:r>
          <m:t>1.9</m:t>
        </m:r>
        <m:r>
          <m:t>i</m:t>
        </m:r>
        <m:r>
          <m:t>m</m:t>
        </m:r>
        <m:r>
          <m:t>e</m:t>
        </m:r>
        <m:r>
          <m:t>s</m:t>
        </m:r>
        <m:sSup>
          <m:e>
            <m:r>
              <m:t>10</m:t>
            </m:r>
          </m:e>
          <m:sup>
            <m:r>
              <m:rPr>
                <m:sty m:val="p"/>
              </m:rPr>
              <m:t>−</m:t>
            </m:r>
            <m:r>
              <m:t>4</m:t>
            </m:r>
          </m:sup>
        </m:sSup>
      </m:oMath>
      <w:r>
        <w:t xml:space="preserve"> at 0.20 s per state, 7.6-fold below a full </w:t>
      </w:r>
      <m:oMath xmlns:a="http://schemas.openxmlformats.org/drawingml/2006/main" xmlns:pic="http://schemas.openxmlformats.org/drawingml/2006/picture">
        <m:r>
          <m:t>21</m:t>
        </m:r>
        <m:r>
          <m:t>i</m:t>
        </m:r>
        <m:r>
          <m:t>m</m:t>
        </m:r>
        <m:r>
          <m:t>e</m:t>
        </m:r>
        <m:r>
          <m:t>s</m:t>
        </m:r>
        <m:r>
          <m:t>61</m:t>
        </m:r>
      </m:oMath>
      <w:r>
        <w:t xml:space="preserve"> solve, on a 120-state weak/transitional/strong benchmark. The same study generalizes the ansatz and solver to unequal reservoirs and solves the zero-current reversal potential, but the reversal-potential inverse remains charge-limited (16.9% at 1% noise), so we do not claim sub-percent charge recovery from that protocol and retain the dual-selectivity 4.8% result. Reporting this negative result is part of the identifiability contribution.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