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21 October 2026</w:t>
      </w:r>
    </w:p>
    <w:p/>
    <w:p>
      <w:r>
        <w:rPr>
          <w:b/>
        </w:rPr>
        <w:t>To the Editors-in-Chief</w:t>
      </w:r>
    </w:p>
    <w:p>
      <w:r>
        <w:rPr>
          <w:i/>
        </w:rPr>
        <w:t>Journal of Computational Physics</w:t>
      </w:r>
    </w:p>
    <w:p/>
    <w:p>
      <w:r>
        <w:rPr>
          <w:b/>
        </w:rPr>
        <w:t>Subject:</w:t>
      </w:r>
      <w:r>
        <w:t xml:space="preserve"> Submission of an original research article</w:t>
      </w:r>
    </w:p>
    <w:p/>
    <w:p>
      <w:r>
        <w:t>Dear Editors,</w:t>
      </w:r>
    </w:p>
    <w:p/>
    <w:p>
      <w:r>
        <w:t xml:space="preserve">We submit this manuscript for consideration in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together with a controlled numerical study and an identifiability analysis for nanopore experiments.</w:t>
      </w:r>
    </w:p>
    <w:p/>
    <w:p>
      <w:r>
        <w:t xml:space="preserve">I am pleased to submit the original research article entitled </w:t>
      </w:r>
      <w:r>
        <w:rPr>
          <w:b/>
        </w:rPr>
        <w:t>"Sensitivity-controlled physics-constrained neural operators and conductance identifiability limits for Poisson--Nernst--Planck transport in charged nanopores"</w:t>
      </w:r>
      <w:r>
        <w:t xml:space="preserve"> for consideration at </w:t>
      </w:r>
      <w:r>
        <w:rPr>
          <w:i/>
        </w:rPr>
        <w:t>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Journal of Computational Physics</w:t>
      </w:r>
      <w:r>
        <w:t xml:space="preserve"> because its core contributions are a numerical-methods result and a validated identifiability ansatz that removes subtractive cancellation in coupled Nernst–Planck fields, a controlled accuracy, ablation, and out-of-distribution study of two operator backbones against a conservative Scharfetter–Gummel reference, and a Fisher analysis validated against exact float64 finite-difference Jacobians.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naive direct-concentration output; against a fairly trained direct loss, the improvement is 13% net charge and 18% current.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15-state, 20-realization study reveal a physical conductance identifiability boundary: dual current–plus–near-wall-selectivity inversion recovers the pore radius to 0.10% and the surface charge to 4.8%, whereas neither single-salt nor multi-salt current–voltage data resolve the charge. The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a 1%-noise CRLB of 0.37% for radius but 86 for charge. The contrast is a limitation of the measurement, not of the surrogate or solver.</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1.1</m:t>
        </m:r>
        <m:r>
          <m:rPr>
            <m:sty m:val="p"/>
          </m:rPr>
          <m:t>×</m:t>
        </m:r>
        <m:sSup>
          <m:e>
            <m:r>
              <m:t>10</m:t>
            </m:r>
          </m:e>
          <m:sup>
            <m:r>
              <m:rPr>
                <m:sty m:val="p"/>
              </m:rPr>
              <m:t>−</m:t>
            </m:r>
            <m:r>
              <m:t>4</m:t>
            </m:r>
          </m:sup>
        </m:sSup>
      </m:oMath>
      <w:r>
        <w:t>, while both show a near-null single-salt charge direction that the near-wall selectivity observable resolves.</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0.966, 0.655, 0.20) and two salinities. Even NaCl leaves the single-salt charge direction poorly conditioned, while adding the near-wall selectivity observable breaks the degeneracy. The released package and portal expose the Jacobian and Fisher construction so that experimentalists can optimize bias, salinity, and observable combinations before fabricating or measuring a pore.</w:t>
      </w:r>
    </w:p>
    <w:p/>
    <w:p>
      <w:r>
        <w:t xml:space="preserve">9. </w:t>
      </w:r>
      <w:r>
        <w:rPr>
          <w:b/>
        </w:rPr>
        <w:t>A sensitivity-controlled hybrid solver and a bounded reversal-potential result.</w:t>
      </w:r>
      <w:r>
        <w:t xml:space="preserve"> A Weyl-gated SG/FV correction preserves a median current error of </w:t>
      </w:r>
      <m:oMath xmlns:a="http://schemas.openxmlformats.org/drawingml/2006/main" xmlns:pic="http://schemas.openxmlformats.org/drawingml/2006/picture">
        <m:r>
          <m:t>1.9</m:t>
        </m:r>
        <m:r>
          <m:t>i</m:t>
        </m:r>
        <m:r>
          <m:t>m</m:t>
        </m:r>
        <m:r>
          <m:t>e</m:t>
        </m:r>
        <m:r>
          <m:t>s</m:t>
        </m:r>
        <m:sSup>
          <m:e>
            <m:r>
              <m:t>10</m:t>
            </m:r>
          </m:e>
          <m:sup>
            <m:r>
              <m:rPr>
                <m:sty m:val="p"/>
              </m:rPr>
              <m:t>−</m:t>
            </m:r>
            <m:r>
              <m:t>4</m:t>
            </m:r>
          </m:sup>
        </m:sSup>
      </m:oMath>
      <w:r>
        <w:t xml:space="preserve"> at 0.20 s per state, 7.6-fold below a full </w:t>
      </w:r>
      <m:oMath xmlns:a="http://schemas.openxmlformats.org/drawingml/2006/main" xmlns:pic="http://schemas.openxmlformats.org/drawingml/2006/picture">
        <m:r>
          <m:t>21</m:t>
        </m:r>
        <m:r>
          <m:t>i</m:t>
        </m:r>
        <m:r>
          <m:t>m</m:t>
        </m:r>
        <m:r>
          <m:t>e</m:t>
        </m:r>
        <m:r>
          <m:t>s</m:t>
        </m:r>
        <m:r>
          <m:t>61</m:t>
        </m:r>
      </m:oMath>
      <w:r>
        <w:t xml:space="preserve"> solve, on a 120-state weak/transitional/strong benchmark. The same study generalizes the ansatz and solver to unequal reservoirs and solves the zero-current reversal potential, but the reversal-potential inverse remains charge-limited (16.9% at 1% noise), so we do not claim sub-percent charge recovery from that protocol and retain the dual-selectivity 4.8% result. Reporting this negative result is part of the identifiability contribution.</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