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Sensitivity-controlled physics-constrained neural operators and conductance identifiability limits for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in 0.072 ms with 13% lower net-charge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Dual selectivity inversion recovers charge to 4.8\% and radius to 0.1\%.</w:t>
      </w:r>
    </w:p>
    <w:p>
      <w:pPr>
        <w:pStyle w:val="ListBullet"/>
      </w:pPr>
      <w:r>
        <w:t>Weyl-gated hybrid solver: 1.9e-4 current error at 7.6-fold lower cost.</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PINO-Nanopore, an exact-boundary, charge-balanced operator for axisymmetric PNP transport over voltage, salinity, wall charge, and radius, used to map regime-dependent conductance identifiability. A 240-state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multi-scale radial physics-informed DeepONet (36,880 parameters) and a real-DFT Fourier neural operator (460,488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direct-concentration loss, charge-balanced outputs lower median net-charge error from 0.238 to 0.207 with 18% lower current error; linearized-Poisson–Boltzmann, POD-RBF,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multi-salt inversion leave charge unidentifiable; adding near-wall Donnan selectivity recovers charge to 4.8% and radius to 0.1%. A 120-state unequal-reservoir benchmark gives a Weyl-gated hybrid solver </w:t>
      </w:r>
      <m:oMath xmlns:a="http://schemas.openxmlformats.org/drawingml/2006/main" xmlns:pic="http://schemas.openxmlformats.org/drawingml/2006/picture">
        <m:r>
          <m:t>1.9</m:t>
        </m:r>
        <m:r>
          <m:rPr>
            <m:sty m:val="p"/>
          </m:rPr>
          <m:t>×</m:t>
        </m:r>
        <m:sSup>
          <m:e>
            <m:r>
              <m:t>10</m:t>
            </m:r>
          </m:e>
          <m:sup>
            <m:r>
              <m:rPr>
                <m:sty m:val="p"/>
              </m:rPr>
              <m:t>−</m:t>
            </m:r>
            <m:r>
              <m:t>4</m:t>
            </m:r>
          </m:sup>
        </m:sSup>
      </m:oMath>
      <w:r>
        <w:t xml:space="preserve"> median current error at 0.20 s versus 1.53 s for full SG/FV (7.6-fold), but reversal-potential inversion at 1\% noise recovers charge only to 17\% (radius 0.23\%), so we do not claim sub-percent charge recovery from that protocol. A strong-charge benchmark lowers current error 23-fold.</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(five schemes, three seeds), exact SG/FV Jacobian validation, and Stage-12 diagnostics add about five minutes; the Stage-18 inverse, baseline, and strong-charge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five-way benchmark, including a direct-concentration model retrained with a matched field loss, shows that charge-balanced outputs lower median net-charge error from 0.238 to 0.207 while keeping current error 18\% lower; the linear projection is statistically tied on net charge but leaves a finite charge-identity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r>
          <m:rPr>
            <m:sty m:val="p"/>
          </m:rPr>
          <m:t>%</m:t>
        </m:r>
      </m:oMath>
      <w:r>
        <w:t xml:space="preserve"> above </w:t>
      </w:r>
      <m:oMath xmlns:a="http://schemas.openxmlformats.org/drawingml/2006/main" xmlns:pic="http://schemas.openxmlformats.org/drawingml/2006/picture">
        <m:sSup>
          <m:e>
            <m:r>
              <m:t>10</m:t>
            </m:r>
          </m:e>
          <m:sup>
            <m:r>
              <m:t>8</m:t>
            </m:r>
          </m:sup>
        </m:sSup>
      </m:oMath>
      <w:r>
        <w:t>), with 1\%-noise CRLBs of 0.37\% for radius but 86 for charge. Single- and multi-salt current–voltage protocols leave charge unidentifiable at 1\% noise, whereas a near-wall Donnan selectivity observable recovers charge to 4.8\% and radius to 0.1\%; an SG/FV-in-the-loop check confirms the protocol ranking but gives a more conservative 8.7\% dual charge error on five states. A strong-charge benchmark lowers current error 23-fold relative to the Ohmic bulk approximation, without claiming that single-salt conductance alone identifies charge.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k</m:t>
                </m:r>
              </m:e>
              <m:sub>
                <m:r>
                  <m:t>B</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To separate a measurement limitation from a surrogate limitation, the inverse study is a controlled identifiability experiment over 15 held-out interpolation states selected to span the Debye-overlap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(single-salt) uses the state's own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We report medians and interquartile ranges over the 600 protocol–noise–state samples, with 95\% coverage and the fractions satisfying the 10\% charge and 2\% radius criteria.</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single-salt Fisher scale with the operator; a five-state SG/FV-in-the-loop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Hard architectural constraints rather than soft penalties: the ansatz imposes exact reservoir potential and concentration values, zero wall ion flux, the wall charge condition, and positive concentrations, while the charge-balanced map enforces the charge identity algebraically.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Naive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That large contrast, however, partly reflects an optimization pathology of the naive direct loss. When the direct model is retrained with the same field-normalized loss used for the other schemes, its three-seed net-charge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PI-DeepONet backbone, including a direct-concentration model retrained with the matched field loss;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five schemes; the hyperbolic reconstruction and the direct schemes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Noise-whitened single-salt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w:t>
      </w:r>
      <m:oMath xmlns:a="http://schemas.openxmlformats.org/drawingml/2006/main" xmlns:pic="http://schemas.openxmlformats.org/drawingml/2006/picture">
        <m:r>
          <m:t>99.1</m:t>
        </m:r>
        <m:r>
          <m:rPr>
            <m:sty m:val="p"/>
          </m:rPr>
          <m:t>%</m:t>
        </m:r>
      </m:oMath>
      <w:r>
        <w:t xml:space="preserve">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the eight states of the </w:t>
      </w:r>
      <m:oMath xmlns:a="http://schemas.openxmlformats.org/drawingml/2006/main" xmlns:pic="http://schemas.openxmlformats.org/drawingml/2006/picture">
        <m:r>
          <m:t>8</m:t>
        </m:r>
        <m:r>
          <m:rPr>
            <m:sty m:val="p"/>
          </m:rPr>
          <m:t>×</m:t>
        </m:r>
        <m:r>
          <m:t>8</m:t>
        </m:r>
      </m:oMath>
      <w:r>
        <w:rPr>
          <w:sz w:val="18"/>
        </w:rPr>
        <w:t xml:space="preserve"> Fisher plane: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Median inverse recovery error at 1\% noise for the Stage-18 single-salt, multi-salt, and dual protocols (15 states) and the Stage-19 reversal-potential and dual hybrid protocols (5 states), with 20 realizations each; bars are median relative errors and error bars are half the interquartile range. The Stage-18 dual protocol remains the only one that brings charge below 10\% and recovers radius to 0.1\%; the Stage-19 reversal hybrid gives 16.9\% charge and 0.23\% radius error, and the dual hybrid gives 39.2\% and 0.23\%.</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 xml:space="preserve">Removing the physics term degrades the current more than the fields. For the DeepONet, the interp-test current error rises from 0.001093 to 0.001687 (54.3% higher), while the potential error changes only from 0.0008914 to 0.000928 (4.1% higher). For the FNO, the interp-test current error rises from 0.008511 to 0.01393 (63.7% higher), and the OOD current error rises from 0.009123 to 0.01815 (98.9% higher). The OOD potential error of the FNO also rises from 0.02079 to 0.03013 (44.9%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held-out states and 20 noise realizations at 1\% noise, single-salt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multi-salt protocol does not change this conclusion: the median charge error is 1.06 (IQR 4.96), radius error is 0.262\%, and radius coverage is 61\%. The dual protocol, which adds the near-wall selectivity </w:t>
      </w:r>
      <m:oMath xmlns:a="http://schemas.openxmlformats.org/drawingml/2006/main" xmlns:pic="http://schemas.openxmlformats.org/drawingml/2006/picture">
        <m:r>
          <m:t>S</m:t>
        </m:r>
      </m:oMath>
      <w:r>
        <w:t>,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charge intervals are also mildly undercovered, so the dual result should be read as a 5–10\% recovery rather than a sub-percent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multi-salt radius estimates change by 21–29\% because the flat charge direction leaves a shallow, grid-sensitive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SG/FV-in-the-loop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sub-percent level by all protocols. The five-state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w:t>
      </w:r>
      <m:oMath xmlns:a="http://schemas.openxmlformats.org/drawingml/2006/main" xmlns:pic="http://schemas.openxmlformats.org/drawingml/2006/picture">
        <m:r>
          <m:t>99.1</m:t>
        </m:r>
        <m:r>
          <m:rPr>
            <m:sty m:val="p"/>
          </m:rPr>
          <m:t>%</m:t>
        </m:r>
      </m:oMath>
      <w:r>
        <w:t xml:space="preserve">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single-salt Fisher matrix is numerically rank-deficient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sub-percent dual-recovery claim. That estimate was obtained with operator-generated observations, a </w:t>
      </w:r>
      <m:oMath xmlns:a="http://schemas.openxmlformats.org/drawingml/2006/main" xmlns:pic="http://schemas.openxmlformats.org/drawingml/2006/picture">
        <m:r>
          <m:t>30</m:t>
        </m:r>
        <m:r>
          <m:rPr>
            <m:sty m:val="p"/>
          </m:rPr>
          <m:t>×</m:t>
        </m:r>
        <m:r>
          <m:t>30</m:t>
        </m:r>
      </m:oMath>
      <w:r>
        <w:t xml:space="preserve"> grid, and a small five-state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is that dual inversion recovers charge to 5–10\% and radius to 0.1–0.5\%. The physical conclusion is unchanged: a charge-sensitive readout is required, and the operator is a practical tool for choosing it.</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Sensitivity-controlled hybrid solver and reversal-potential identifiability</w:t>
      </w:r>
    </w:p>
    <w:p>
      <w:r>
        <w:t xml:space="preserve">The hybrid solver combines the frozen operator with a Weyl singular-value gate and a single conservative SG/FV Newton correction. On 120 states spanning the weak, transitional, and strong charge bands, the gated correction gives a median current error of </w:t>
      </w:r>
      <m:oMath xmlns:a="http://schemas.openxmlformats.org/drawingml/2006/main" xmlns:pic="http://schemas.openxmlformats.org/drawingml/2006/picture">
        <m:r>
          <m:t>1.91</m:t>
        </m:r>
        <m:r>
          <m:rPr>
            <m:sty m:val="p"/>
          </m:rPr>
          <m:t>×</m:t>
        </m:r>
        <m:sSup>
          <m:e>
            <m:r>
              <m:t>10</m:t>
            </m:r>
          </m:e>
          <m:sup>
            <m:r>
              <m:rPr>
                <m:sty m:val="p"/>
              </m:rPr>
              <m:t>−</m:t>
            </m:r>
            <m:r>
              <m:t>4</m:t>
            </m:r>
          </m:sup>
        </m:sSup>
      </m:oMath>
      <w:r>
        <w:t xml:space="preserve"> (IQR </w:t>
      </w:r>
      <m:oMath xmlns:a="http://schemas.openxmlformats.org/drawingml/2006/main" xmlns:pic="http://schemas.openxmlformats.org/drawingml/2006/picture">
        <m:r>
          <m:t>1.12</m:t>
        </m:r>
        <m:r>
          <m:rPr>
            <m:sty m:val="p"/>
          </m:rPr>
          <m:t>×</m:t>
        </m:r>
        <m:sSup>
          <m:e>
            <m:r>
              <m:t>10</m:t>
            </m:r>
          </m:e>
          <m:sup>
            <m:r>
              <m:rPr>
                <m:sty m:val="p"/>
              </m:rPr>
              <m:t>−</m:t>
            </m:r>
            <m:r>
              <m:t>2</m:t>
            </m:r>
          </m:sup>
        </m:sSup>
      </m:oMath>
      <w:r>
        <w:t xml:space="preserve">, 95th percentile </w:t>
      </w:r>
      <m:oMath xmlns:a="http://schemas.openxmlformats.org/drawingml/2006/main" xmlns:pic="http://schemas.openxmlformats.org/drawingml/2006/picture">
        <m:r>
          <m:t>7.03</m:t>
        </m:r>
        <m:r>
          <m:rPr>
            <m:sty m:val="p"/>
          </m:rPr>
          <m:t>×</m:t>
        </m:r>
        <m:sSup>
          <m:e>
            <m:r>
              <m:t>10</m:t>
            </m:r>
          </m:e>
          <m:sup>
            <m:r>
              <m:rPr>
                <m:sty m:val="p"/>
              </m:rPr>
              <m:t>−</m:t>
            </m:r>
            <m:r>
              <m:t>2</m:t>
            </m:r>
          </m:sup>
        </m:sSup>
      </m:oMath>
      <w:r>
        <w:t xml:space="preserve">) and a median reversal-potential error of 0.035 mV. Its median wall time is 0.201 s, compared with 1.527 s for a full </w:t>
      </w:r>
      <m:oMath xmlns:a="http://schemas.openxmlformats.org/drawingml/2006/main" xmlns:pic="http://schemas.openxmlformats.org/drawingml/2006/picture">
        <m:r>
          <m:t>21</m:t>
        </m:r>
        <m:r>
          <m:rPr>
            <m:sty m:val="p"/>
          </m:rPr>
          <m:t>×</m:t>
        </m:r>
        <m:r>
          <m:t>61</m:t>
        </m:r>
      </m:oMath>
      <w:r>
        <w:t xml:space="preserve"> SG/FV solve, a 7.6-fold reduction. The one-step Gummel correction alone has the same current error, so the gain is the gate plus the conservative correction rather than a new field representation. The eight-method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strong-charge band.</w:t>
      </w:r>
    </w:p>
    <w:p>
      <w:r>
        <w:t>The reversal-potential extension is less successful. We generalized the exact-reservoir ansatz and the conservative solver to unequal reservoirs (</w:t>
      </w:r>
      <m:oMath xmlns:a="http://schemas.openxmlformats.org/drawingml/2006/main" xmlns:pic="http://schemas.openxmlformats.org/drawingml/2006/picture">
        <m:sSub>
          <m:e>
            <m:r>
              <m:t>c</m:t>
            </m:r>
          </m:e>
          <m:sub>
            <m:r>
              <m:t>L</m:t>
            </m:r>
          </m:sub>
        </m:sSub>
        <m:r>
          <m:rPr>
            <m:sty m:val="p"/>
          </m:rPr>
          <m:t>=</m:t>
        </m:r>
        <m:r>
          <m:t>5</m:t>
        </m:r>
        <m:sSub>
          <m:e>
            <m:r>
              <m:t>C</m:t>
            </m:r>
          </m:e>
          <m:sub>
            <m:r>
              <m:t>0</m:t>
            </m:r>
          </m:sub>
        </m:sSub>
      </m:oMath>
      <w:r>
        <w:t xml:space="preserve">, </w:t>
      </w:r>
      <m:oMath xmlns:a="http://schemas.openxmlformats.org/drawingml/2006/main" xmlns:pic="http://schemas.openxmlformats.org/drawingml/2006/picture">
        <m:sSub>
          <m:e>
            <m:r>
              <m:t>c</m:t>
            </m:r>
          </m:e>
          <m:sub>
            <m:r>
              <m:t>R</m:t>
            </m:r>
          </m:sub>
        </m:sSub>
        <m:r>
          <m:rPr>
            <m:sty m:val="p"/>
          </m:rPr>
          <m:t>=</m:t>
        </m:r>
        <m:sSub>
          <m:e>
            <m:r>
              <m:t>C</m:t>
            </m:r>
          </m:e>
          <m:sub>
            <m:r>
              <m:t>0</m:t>
            </m:r>
          </m:sub>
        </m:sSub>
      </m:oMath>
      <w:r>
        <w:t>) and solved the zero-current root for each state. In the inverse test, 20 realizations at 0.2\%, 1\%, and 2\% noise give hybrid charge errors of 9.7\%, 16.9\%, and 21.8\% for the reversal-potential protocol, with radius errors of 0.17\%, 0.23\%, and 0.35\%; the corresponding 95\% coverage is 100/100/98\% for charge and 96/89/62\% for radius. The dual current-plus-selectivity hybrid is worse for charge (39.2\%, 39.2\%, 31.4\%; coverage 18/9/11\%), and the surrogate-only estimator is worse still. These values do not support the projected sub-percent charge recovery at low noise: the reversal potential in this equal-diffusivity, symmetric-electrolyte model is only weakly charge-sensitive. We therefore report the hybrid solver as a validated speed/accuracy result and retain the Stage-18 dual-selectivity 4.8\% charge result as the best available inverse protocol, rather than replacing it with an unsupported claim.</w:t>
      </w:r>
    </w:p>
    <w:p>
      <w:pPr>
        <w:pStyle w:val="Heading3"/>
      </w:pPr>
      <w:r>
        <w:t>3.11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strong-charge behavior</w:t>
      </w:r>
    </w:p>
    <w:p>
      <w:r>
        <w:t>To place the operator against simpler alternatives, we evaluated two interpreted models on the same 96 test states (Supplementary Table S21). The Ohmic bulk model uses the bulk conductivity and the geometric cross-section; the linearized radial Poisson–Boltzmann (PB) model uses a calibrated Debye-layer charge profile and no per-state fitting. A 30-mode POD–RBF interpolator and the FNO provide data-driven reference points. On the interpolation split the DeepONet has the lowest potential error (0.000891 versus 0.000969 for PB) and a net-charge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low-charge current, but it does not satisfy the nonlinear PNP equations or the charge identity and cannot represent the strong-charge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strong-charge fields and selectivity, which is the regime where a physics-constrained operator is needed.</w:t>
      </w:r>
    </w:p>
    <w:p>
      <w:r>
        <w:t xml:space="preserve">The strong-charge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22.8-fold reduction; the Ohmic model has a net-charge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charge-sensitive field large and accurately predictable, which is the signal a dual readout exploits; it does not by itself make single-salt conductance identify charge, and we do not claim that it does.</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 xml:space="preserve">The charge-balanced parameterization is the most transferable result, but the matched-loss control changes its quantitative interpretation. Relative to a naive direct-concentration loss the improvement is 8.63-fold for the DeepONet and 10.29-fold for the FNO, yet much of that gap is an optimization pathology: with the same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net-charge and 18–23\% current advantage over a fairly trained direct model, plus an exact positivity and charge-identity guarantee. The underlying mechanism remains general: whenever a physical quantity is a small difference of two large positive fields, direct regression suffers from cancellation, and a reparameterization in terms of the sum and the difference reduces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54.3% for the DeepONet in-distribution and by 98.9%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SG/FV-generated observations, 20 noise draws, and a nested grid, dual current–plus–selectivity inversion recovers charge to 4.8\% median (IQR 11.6\%) and radius to 0.10\% (IQR 0.13\%) at 1\% noise, while single- and multi-salt conductance leave charge at 100\% median error and do not meet the 10\% criterion for any state; an SG/FV-in-the-loop check gives a more conservative 8.7\% charge and 0.45\% radius error on five states. This is a physical identifiability limit, not a surrogate error. It follows from the near-invariance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t>
      </w:r>
      <m:oMath xmlns:a="http://schemas.openxmlformats.org/drawingml/2006/main" xmlns:pic="http://schemas.openxmlformats.org/drawingml/2006/picture">
        <m:r>
          <m:t>99.1</m:t>
        </m:r>
        <m:r>
          <m:rPr>
            <m:sty m:val="p"/>
          </m:rPr>
          <m:t>%</m:t>
        </m:r>
      </m:oMath>
      <w:r>
        <w:t xml:space="preserve">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multi-salt current–voltage data do not remove the degeneracy, whereas an independent near-wall selectivity observable brings charge into the 5–10\% range.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Stage-19 hybrid and reversal study sharpens the same boundary. The Weyl-gated solver reproduces the full SG/FV current to </w:t>
      </w:r>
      <m:oMath xmlns:a="http://schemas.openxmlformats.org/drawingml/2006/main" xmlns:pic="http://schemas.openxmlformats.org/drawingml/2006/picture">
        <m:r>
          <m:t>1.9</m:t>
        </m:r>
        <m:r>
          <m:rPr>
            <m:sty m:val="p"/>
          </m:rPr>
          <m:t>×</m:t>
        </m:r>
        <m:sSup>
          <m:e>
            <m:r>
              <m:t>10</m:t>
            </m:r>
          </m:e>
          <m:sup>
            <m:r>
              <m:rPr>
                <m:sty m:val="p"/>
              </m:rPr>
              <m:t>−</m:t>
            </m:r>
            <m:r>
              <m:t>4</m:t>
            </m:r>
          </m:sup>
        </m:sSup>
      </m:oMath>
      <w:r>
        <w:t xml:space="preserve"> median relative error at 0.20 s per state, 7.6-fold below the 1.53 s full solve, so it is a practical inner loop for protocol design. The unequal-reservoir reversal potential, however, does not rescue charge identifiability: at 1\% noise the hybrid charge error is 16.9\% (radius 0.23\%), and the dual hybrid is 39.2\% (coverage 9\%). The projected sub-percent charge recovery is therefore not supported by this model, and we do not claim it. The negative result is consistent with the Fisher analysis: in a symmetric electrolyte with equal diffusivities, the concentration-cell potential carries only a weak wall-charge signature, so a reversal-potential readout must be combined with a genuinely charge-sensitive observable rather than substituted for one.</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held-out in-distribution states, retains 0.00136 current error out of distribution, and runs in 0.072 ms per state after ONNX export. In a five-way constrained comparison, charge-balanced outputs reduce median net-charge error from 0.238 for a matched direct-concentration loss to 0.207 while keeping current error 18\% lower; the linear projection is statistically tied on net charge but leaves a finite charge-identity mismatch. The physics loss reduces current error by 54–99\%. A Weyl-gated SG/FV correction preserves a </w:t>
      </w:r>
      <m:oMath xmlns:a="http://schemas.openxmlformats.org/drawingml/2006/main" xmlns:pic="http://schemas.openxmlformats.org/drawingml/2006/picture">
        <m:r>
          <m:t>1.9</m:t>
        </m:r>
        <m:r>
          <m:rPr>
            <m:sty m:val="p"/>
          </m:rPr>
          <m:t>×</m:t>
        </m:r>
        <m:sSup>
          <m:e>
            <m:r>
              <m:t>10</m:t>
            </m:r>
          </m:e>
          <m:sup>
            <m:r>
              <m:rPr>
                <m:sty m:val="p"/>
              </m:rPr>
              <m:t>−</m:t>
            </m:r>
            <m:r>
              <m:t>4</m:t>
            </m:r>
          </m:sup>
        </m:sSup>
      </m:oMath>
      <w:r>
        <w:t xml:space="preserve"> median current error at 0.20 s per state, 7.6-fold below a full solve, while unequal-reservoir reversal-potential inversion remains charge-limited (16.9\% at 1\% noise) and is not used to replace the dual-selectivity result.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strong-charge fields and selectivity. The central physical result is a limit, not a speed-up: for symmetric binary electrolytes with nearly equal ionic diffusivities, such as KCl, and a conductance-only protocol, fixed wall charge is unidentifiable at 1\% noise regardless of surrogate or solver accuracy,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r>
          <m:rPr>
            <m:sty m:val="p"/>
          </m:rPr>
          <m:t>%</m:t>
        </m:r>
      </m:oMath>
      <w:r>
        <w:t xml:space="preserve"> above </w:t>
      </w:r>
      <m:oMath xmlns:a="http://schemas.openxmlformats.org/drawingml/2006/main" xmlns:pic="http://schemas.openxmlformats.org/drawingml/2006/picture">
        <m:sSup>
          <m:e>
            <m:r>
              <m:t>10</m:t>
            </m:r>
          </m:e>
          <m:sup>
            <m:r>
              <m:t>8</m:t>
            </m:r>
          </m:sup>
        </m:sSup>
      </m:oMath>
      <w:r>
        <w:t>; 1\%-noise CRLB 0.37\% for radius but 86 for charge). Single- and multi-salt current–voltage sweeps do not remove this degeneracy. A dual current-plus-near-wall-selectivity protocol recovers charge to 4.8\% and radius to 0.10\% on 15 states and 20 realizations; an SG/FV-in-the-loop check gives a more conservative 8.7\% and 0.45\% on five states. Strong surface charge lowers current error 23-fold relative to the Ohmic bulk approximation and makes the selectivity field accurately predictable, but it does not by itself make single-salt conductance identify charge.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