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20 October 2026</w:t>
      </w:r>
    </w:p>
    <w:p/>
    <w:p>
      <w:r>
        <w:rPr>
          <w:b/>
        </w:rPr>
        <w:t>To the Editors-in-Chief</w:t>
      </w:r>
    </w:p>
    <w:p>
      <w:r>
        <w:rPr>
          <w:i/>
        </w:rPr>
        <w:t>Computer Physics Communications / Journal of Computational Physics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jointly with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"Conductance identifiability limits and physics-constrained neural operators for axisymmetric Poisson--Nernst--Planck transport in charged nanopores"</w:t>
      </w:r>
      <w:r>
        <w:t xml:space="preserve"> for consideration at </w:t>
      </w:r>
      <w:r>
        <w:rPr>
          <w:i/>
        </w:rPr>
        <w:t>Computer Physics Communications / 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The work combines a numerical-methods contribution with a reusable computational package: a hard-constrained operator ansatz, a controlled accuracy and ablation study, and a documented, MIT-licensed software release that includes trained models, verification reports, and an interactive simulator.</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direct-concentration output.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three-protocol study reveal a physical conductance identifiability boundary: the pore radius is recoverable from a five-bias current–voltage curve to 0.46%, whereas the surface charge is a flat direction whose current signature stays below the 1% noise floor at every operating point. Neither single-salt nor multi-salt current–voltage data resolve that charge; adding an independent near-wall selectivity observable recovers both radius and wall charge to below 0.3%. The contrast is a limitation of the measurement, not of the surrogate or solver: the exact SG/FV Fisher matrix gives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xml:space="preserve"> for conductance-only protocols.</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1.5</m:t>
        </m:r>
        <m:r>
          <m:t>i</m:t>
        </m:r>
        <m:r>
          <m:t>m</m:t>
        </m:r>
        <m:r>
          <m:t>e</m:t>
        </m:r>
        <m:r>
          <m:t>s</m:t>
        </m:r>
        <m:sSup>
          <m:e>
            <m:r>
              <m:t>10</m:t>
            </m:r>
          </m:e>
          <m:sup>
            <m:r>
              <m:rPr>
                <m:sty m:val="p"/>
              </m:rPr>
              <m:t>−</m:t>
            </m:r>
            <m:r>
              <m:t>4</m:t>
            </m:r>
          </m:sup>
        </m:sSup>
      </m:oMath>
      <w:r>
        <w:t>, and both collapse the charge-conditioning number by ten orders of magnitude once the near-wall selectivity observable is added.</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xml:space="preserve">, 0.966, 0.655, 0.20) and two salinities. Even NaCl leaves the single-salt condition number above </w:t>
      </w:r>
      <m:oMath xmlns:a="http://schemas.openxmlformats.org/drawingml/2006/main" xmlns:pic="http://schemas.openxmlformats.org/drawingml/2006/picture">
        <m:sSup>
          <m:e>
            <m:r>
              <m:t>10</m:t>
            </m:r>
          </m:e>
          <m:sup>
            <m:r>
              <m:t>16</m:t>
            </m:r>
          </m:sup>
        </m:sSup>
      </m:oMath>
      <w:r>
        <w:t>, while adding the near-wall selectivity observable reduces it by six to ten orders of magnitude. The released package and portal expose the Jacobian and Fisher construction so that experimentalists can optimize bias, salinity, and observable combinations before fabricating or measuring a pore.</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