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Conductance identifiability limits and physics-constrained neural operators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to fields in 0.072 ms on one CPU.</w:t>
      </w:r>
    </w:p>
    <w:p>
      <w:pPr>
        <w:pStyle w:val="ListBullet"/>
      </w:pPr>
      <w:r>
        <w:t>Charge-balanced sum/difference outputs cut net-charge error 8.63–10.29-fold.</w:t>
      </w:r>
    </w:p>
    <w:p>
      <w:pPr>
        <w:pStyle w:val="ListBullet"/>
      </w:pPr>
      <w:r>
        <w:t>Exact SG/FV Jacobians confirm the operator's conductance sensitivities.</w:t>
      </w:r>
    </w:p>
    <w:p>
      <w:pPr>
        <w:pStyle w:val="ListBullet"/>
      </w:pPr>
      <w:r>
        <w:t>Wall charge is unidentifiable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w:t>
      </w:r>
    </w:p>
    <w:p>
      <w:pPr>
        <w:pStyle w:val="ListBullet"/>
      </w:pPr>
      <w:r>
        <w:t>A near-wall selectivity probe recovers radius and charge below 0.3%.</w:t>
      </w:r>
    </w:p>
    <w:p>
      <w:pPr>
        <w:pStyle w:val="Heading2"/>
      </w:pPr>
      <w:r>
        <w:t>Abstract</w:t>
      </w:r>
    </w:p>
    <w:p>
      <w:r>
        <w:t xml:space="preserve">Inferring nanopore surface charge and geometry from ionic current–voltage measurements is a central inverse problem in nanofluidic sensing, yet repeated Poisson–Nernst–Planck (PNP) solves are too slow for exhaustive identifiability mapping and single-state physics-informed networks require retraining per operating point. We address both with PINO-Nanopore, a validated, exact-boundary, charge-balanced operator for steady axisymmetric PNP transport over voltage, salinity, wall charge, and radius, used as a high-throughput instrument to map what conductance can and cannot identify. A conservative Scharfetter–Gummel solver generates a 240-state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A multi-scale radial physics-informed DeepONet (36,880 parameters) and a real-DFT Fourier neural operator (460,488 parameters) predict a positive salt sum and net charge and reconstruct concentrations hyperbolically, so reservoir data and the charge identity hold exactly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On held-out states the DeepONet reaches relative </w:t>
      </w:r>
      <m:oMath xmlns:a="http://schemas.openxmlformats.org/drawingml/2006/main" xmlns:pic="http://schemas.openxmlformats.org/drawingml/2006/picture">
        <m:sSub>
          <m:e>
            <m:r>
              <m:t>L</m:t>
            </m:r>
          </m:e>
          <m:sub>
            <m:r>
              <m:t>2</m:t>
            </m:r>
          </m:sub>
        </m:sSub>
      </m:oMath>
      <w:r>
        <w:t xml:space="preserve"> errors of 0.0008914 for potential and 0.001093 for current, and 0.001363 out of distribution, at 0.072 ms per state on one CPU. Verified against exact float64 SG/FV Jacobians (median agreement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Fisher analysis proves fixed wall charge unidentifiable for symmetric binary electrolytes with nearly equal ionic diffusivities, such as KCl,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and a near-wall Donnan selectivity observable collapses the conditioning by ten orders, recovering radius and charge below 0.3%. Unequal diffusivities add a linear but still ill-conditioned charge channel. A four-way constraint benchmark, a physics-weight sweep, and an out-of-distribution error decomposition isolate the design choices. The package is deployed in browser and Gradio interfaces with a live reference solver.</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Software name:</w:t>
      </w:r>
      <w:r>
        <w:t xml:space="preserve"> </w:t>
      </w:r>
      <w:r>
        <w:rPr>
          <w:rFonts w:ascii="Consolas" w:hAnsi="Consolas"/>
          <w:sz w:val="19"/>
        </w:rPr>
        <w:t>nanopore-pino-surrogate</w:t>
      </w:r>
    </w:p>
    <w:p>
      <w:r>
        <w:rPr>
          <w:b/>
        </w:rPr>
        <w:t>Program obtainable from:</w:t>
      </w:r>
      <w:r>
        <w:t xml:space="preserve"> https://github.com/Javad-Alizargar/nanopore-pino-surrogate</w:t>
      </w:r>
    </w:p>
    <w:p>
      <w:r>
        <w:rPr>
          <w:b/>
        </w:rPr>
        <w:t>Permanent archive DOI:</w:t>
      </w:r>
      <w:r>
        <w:t xml:space="preserve"> https://doi.org/10.5281/zenodo.23487404</w:t>
      </w:r>
    </w:p>
    <w:p>
      <w:r>
        <w:rPr>
          <w:b/>
        </w:rPr>
        <w:t>CPC Library link to program files:</w:t>
      </w:r>
      <w:r>
        <w:t xml:space="preserve"> added by the CPC Technical Editor upon acceptance</w:t>
      </w:r>
    </w:p>
    <w:p>
      <w:r>
        <w:rPr>
          <w:b/>
        </w:rPr>
        <w:t>Licensing provisions:</w:t>
      </w:r>
      <w:r>
        <w:t xml:space="preserve"> MIT License (Copyright 2026 Javad Alizargar)</w:t>
      </w:r>
    </w:p>
    <w:p>
      <w:r>
        <w:rPr>
          <w:b/>
        </w:rPr>
        <w:t>Distribution format:</w:t>
      </w:r>
      <w:r>
        <w:t xml:space="preserve"> Source code (Python and JavaScript), ONNX models, CSV/JSON data, and documentation</w:t>
      </w:r>
    </w:p>
    <w:p>
      <w:r>
        <w:rPr>
          <w:b/>
        </w:rPr>
        <w:t>Programming language:</w:t>
      </w:r>
      <w:r>
        <w:t xml:space="preserve"> Python 3.14; JavaScript ES6</w:t>
      </w:r>
    </w:p>
    <w:p>
      <w:r>
        <w:rPr>
          <w:b/>
        </w:rPr>
        <w:t>Computer:</w:t>
      </w:r>
      <w:r>
        <w:t xml:space="preserve"> Apple M1 (arm64); any x86-64 or arm64 machine with Python 3.10+ and a modern browser</w:t>
      </w:r>
    </w:p>
    <w:p>
      <w:r>
        <w:rPr>
          <w:b/>
        </w:rPr>
        <w:t>Operating system:</w:t>
      </w:r>
      <w:r>
        <w:t xml:space="preserve"> macOS 14.1 (tested); Linux and Windows are supported by the dependencies</w:t>
      </w:r>
    </w:p>
    <w:p>
      <w:r>
        <w:rPr>
          <w:b/>
        </w:rPr>
        <w:t>RAM:</w:t>
      </w:r>
      <w:r>
        <w:t xml:space="preserve"> 8 GB minimum; 16 GB recommended</w:t>
      </w:r>
    </w:p>
    <w:p>
      <w:r>
        <w:rPr>
          <w:b/>
        </w:rPr>
        <w:t>Number of processors used:</w:t>
      </w:r>
      <w:r>
        <w:t xml:space="preserve"> 1 CPU core (no GPU required)</w:t>
      </w:r>
    </w:p>
    <w:p>
      <w:r>
        <w:rPr>
          <w:b/>
        </w:rPr>
        <w:t>Parallelization:</w:t>
      </w:r>
      <w:r>
        <w:t xml:space="preserve"> Serial; batched ONNX inference and single-threaded browser inference</w:t>
      </w:r>
    </w:p>
    <w:p>
      <w:r>
        <w:rPr>
          <w:b/>
        </w:rPr>
        <w:t>Keywords:</w:t>
      </w:r>
      <w:r>
        <w:t xml:space="preserve"> Poisson–Nernst–Planck; nanopore; neural operator; DeepONet; Fourier neural operator; physics-informed machine learning; inverse problem; identifiability; Donnan selectivity</w:t>
      </w:r>
    </w:p>
    <w:p>
      <w:r>
        <w:rPr>
          <w:b/>
        </w:rPr>
        <w:t>Classification:</w:t>
      </w:r>
      <w:r>
        <w:t xml:space="preserve"> 02.70.-c (computational techniques); 87.16.dj (membranes and bilayers)</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and 3–8 nm radius; extrapolation beyond these ranges is not certified. The package includes a dual-engine browser simulator that can switch between the operator and an in-browser SG/FV solve.</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(four schemes, three seeds), exact SG/FV Jacobian validation (1200 reference solves), and Stage-12 diagnostics add about four minutes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and they underpin single-molecule sensing and sequencing [1–6]. In confined geometries the electrical double layer (EDL) can overlap, so ion transport departs from bulk conductance [7–11]. Surface charge, salt concentration, pore radius, and applied voltage jointly set selectivity and rectification [12–16], and the PNP system remains the standard continuum description of these effects [17–19]. EDL overlap, charge regulation, and electrokinetic dispersion further modify conduction in narrow pores [20–23], and the same physics underlies emerging iontronic and nanofluidic devices [24, 25].</w:t>
      </w:r>
    </w:p>
    <w:p>
      <w:r>
        <w:t>Estimating surface charge and pore geometry from a current–voltage curve is therefore a long-standing inverse problem [7–16]. Conductance convolves the geometric access resistance with the Donnan enrichment or depletion of ions at the charged wall, so a change in wall charge can mimic a change in radius [12–16, 20–23]. Rectification in asymmetric or conical pores adds a second charge-sensitive signature, but it also mixes charge with geometry [14,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introduced for semiconductor carrier transport [26], and conservative finite-volume formulations [27] provide stable, accurate currents on moderate grids.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[28–31] remove the need for labeled data but are typically trained for one parameter set at a time, and they are sensitive to gradient-flow pathologies and failure modes [32, 33]. Hard-constraint formulations improve conditioning and enforce boundary data exactly [34–40], and extended or domain-decomposed variants enlarge the admissible geometry [41]. For PNP specifically, enriched and physics-informed variants have been reported [42, 43], operator variants such as CF-DeepONet and T-phPINN have been applied to adjacent transport problems [44, 45], and physics-informed surrogates have been used for battery-health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with error estimates in infinite dimensions [48], physics-informed DeepONet formulations [49], and several recent architectural and training variants [50–53]. Fourier neural operators (FNOs) learn global convolutions in a spectral basis [54, 55] and have been extended to parametric and physics-informed settings [56–58]. Neural Green's operators and spatio-spectral formulations offer complementary routes to parametric PDE solution [59,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controlled four-way benchmark shows that the accuracy gain comes from decoupling the </w:t>
      </w:r>
      <m:oMath xmlns:a="http://schemas.openxmlformats.org/drawingml/2006/main" xmlns:pic="http://schemas.openxmlformats.org/drawingml/2006/picture">
        <m:r>
          <m:t>O</m:t>
        </m:r>
        <m:r>
          <m:rPr>
            <m:sty m:val="p"/>
          </m:rPr>
          <m:t>(</m:t>
        </m:r>
        <m:r>
          <m:t>1</m:t>
        </m:r>
        <m:r>
          <m:rPr>
            <m:sty m:val="p"/>
          </m:rPr>
          <m:t>)</m:t>
        </m:r>
      </m:oMath>
      <w:r>
        <w:t xml:space="preserve"> salt sum from the small net-charge difference, a mechanism that the hyperbolic map and the linear projection share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xml:space="preserve"> interpolation-test net-charge error), and that the hyperbolic map is preferred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Softplus clipping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the exact Fisher matrix confirms that fixed wall charge is a near-null direction at every operating point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that single- and multi-salt current–voltage protocols leave it unidentifiable at 1% noise, and that a near-wall Donnan selectivity observable collapses the conditioning by ten orders of magnitude and recovers radius and charge below 0.3%.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28</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uses a node-centered axisymmetric finite-volume discretization with Scharfetter–Gummel face fluxes for the Nernst–Planck currents and a conservative Poisson update [26, 27].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r>
          <m:rPr>
            <m:sty m:val="p"/>
          </m:rPr>
          <m:t>[</m:t>
        </m:r>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r>
          <m:rPr>
            <m:sty m:val="p"/>
          </m:rPr>
          <m:t>]</m:t>
        </m:r>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w:t>
      </w:r>
      <m:oMath xmlns:a="http://schemas.openxmlformats.org/drawingml/2006/main" xmlns:pic="http://schemas.openxmlformats.org/drawingml/2006/picture">
        <m:r>
          <m:rPr>
            <m:sty m:val="p"/>
          </m:rPr>
          <m:t>[</m:t>
        </m:r>
        <m:r>
          <m:rPr>
            <m:sty m:val="p"/>
          </m:rPr>
          <m:t>−</m:t>
        </m:r>
        <m:r>
          <m:t>15</m:t>
        </m:r>
        <m:r>
          <m:rPr>
            <m:sty m:val="p"/>
          </m:rPr>
          <m:t>,</m:t>
        </m:r>
        <m:r>
          <m:t>15</m:t>
        </m:r>
        <m:r>
          <m:rPr>
            <m:sty m:val="p"/>
          </m:rPr>
          <m:t>]</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identity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holds exactly. In the implementation the residual of this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construction should be distinguished from soft penalty-based constraint enforcement [34–40].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S9,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935073"/>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935073"/>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The reason is subtractive cancellation: independent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errors are amplified in their small difference, whereas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that cancellation. The four-way benchmark (Figure 3A,B; Supplementary Table S11) shows that this decoupling, shared by the algebraic projection and the hyperbolic map, is the dominant driver: both reduce the error about 4.5-fold relative to direct outputs, and their mutual difference (</w:t>
      </w:r>
      <m:oMath xmlns:a="http://schemas.openxmlformats.org/drawingml/2006/main" xmlns:pic="http://schemas.openxmlformats.org/drawingml/2006/picture">
        <m:r>
          <m:t>0.201</m:t>
        </m:r>
        <m:r>
          <m:rPr>
            <m:sty m:val="p"/>
          </m:rPr>
          <m:t>±</m:t>
        </m:r>
        <m:r>
          <m:t>0.021</m:t>
        </m:r>
      </m:oMath>
      <w:r>
        <w:t xml:space="preserve"> versus </w:t>
      </w:r>
      <m:oMath xmlns:a="http://schemas.openxmlformats.org/drawingml/2006/main" xmlns:pic="http://schemas.openxmlformats.org/drawingml/2006/picture">
        <m:r>
          <m:t>0.207</m:t>
        </m:r>
        <m:r>
          <m:rPr>
            <m:sty m:val="p"/>
          </m:rPr>
          <m:t>±</m:t>
        </m:r>
        <m:r>
          <m:t>0.015</m:t>
        </m:r>
      </m:oMath>
      <w:r>
        <w:t xml:space="preserve">) is within seed noise. Because they are statistically indistinguishable, the choice is structural.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2984445"/>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2984445"/>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lowers the interp-test potential error to 0.002195 and the current error to 0.003349 but does not change the ranking (Supplementary Table S13).</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3959402"/>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3959402"/>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demonstration asks what can be inferred from a noisy current–voltage curve alone. For five held-out states the operator recovers the pore radius with a median relative error of 0.004574 (0.46%), because the current scales with the pore cross-section and the five-bias slope fixes the conductance scale. Surface charge is not identifiable at the same noise. Across the full charge prior, the median state-level change in predicted current at the recovered radius is 0.0009625 (0.096%) and the largest is 0.0019 (0.19%), both below the 1% noise floor; the objective is therefore flat in </w:t>
      </w:r>
      <m:oMath xmlns:a="http://schemas.openxmlformats.org/drawingml/2006/main" xmlns:pic="http://schemas.openxmlformats.org/drawingml/2006/picture">
        <m:sSub>
          <m:e>
            <m:r>
              <m:t>q</m:t>
            </m:r>
          </m:e>
          <m:sub>
            <m:r>
              <m:t>w</m:t>
            </m:r>
          </m:sub>
        </m:sSub>
      </m:oMath>
      <w:r>
        <w:t xml:space="preserve">. The median relative </w:t>
      </w:r>
      <m:oMath xmlns:a="http://schemas.openxmlformats.org/drawingml/2006/main" xmlns:pic="http://schemas.openxmlformats.org/drawingml/2006/picture">
        <m:sSub>
          <m:e>
            <m:r>
              <m:t>q</m:t>
            </m:r>
          </m:e>
          <m:sub>
            <m:r>
              <m:t>w</m:t>
            </m:r>
          </m:sub>
        </m:sSub>
      </m:oMath>
      <w:r>
        <w:t xml:space="preserve"> error is 1.154 (absolute 0.0526, about half the prior width), and the median absolute radius error is 0.0181 nm; Supplementary Table S18 reports relative and per-state values.</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r>
          <m:rPr>
            <m:sty m:val="p"/>
          </m:rPr>
          <m:t>[</m:t>
        </m:r>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Writing </w:t>
      </w:r>
      <m:oMath xmlns:a="http://schemas.openxmlformats.org/drawingml/2006/main" xmlns:pic="http://schemas.openxmlformats.org/drawingml/2006/picture">
        <m:r>
          <m:t>s</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r>
              <m:t>4</m:t>
            </m:r>
            <m:sSub>
              <m:e>
                <m:r>
                  <m:t>c</m:t>
                </m:r>
              </m:e>
              <m:sub>
                <m:r>
                  <m:rPr>
                    <m:sty m:val="p"/>
                  </m:rPr>
                  <m:t>+</m:t>
                </m:r>
              </m:sub>
            </m:sSub>
            <m:sSub>
              <m:e>
                <m:r>
                  <m:t>c</m:t>
                </m:r>
              </m:e>
              <m:sub>
                <m:r>
                  <m:rPr>
                    <m:sty m:val="p"/>
                  </m:rPr>
                  <m:t>−</m:t>
                </m:r>
              </m:sub>
            </m:sSub>
            <m:r>
              <m:rPr>
                <m:sty m:val="p"/>
              </m:rPr>
              <m:t>+</m:t>
            </m:r>
            <m:sSup>
              <m:e>
                <m:r>
                  <m:t>ρ</m:t>
                </m:r>
              </m:e>
              <m:sup>
                <m:r>
                  <m:t>2</m:t>
                </m:r>
              </m:sup>
            </m:sSup>
          </m:e>
        </m:rad>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salt sum fixed by bulk concentration and geometry; the second is the only linear charge channel, and it is small.</w:t>
      </w:r>
    </w:p>
    <w:p>
      <w:r>
        <w:t xml:space="preserve">The multi-protocol experiment confirms this interpretation and shows how to break the degeneracy (Supplementary Table S9).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at all three noise levels, and the multi-salt protocol improves the low-salinity charge sensitivity roughly tenfold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w:t>
      </w:r>
      <m:oMath xmlns:a="http://schemas.openxmlformats.org/drawingml/2006/main" xmlns:pic="http://schemas.openxmlformats.org/drawingml/2006/picture">
        <m:r>
          <m:t>S</m:t>
        </m:r>
      </m:oMath>
      <w:r>
        <w:t xml:space="preserve"> recovers </w:t>
      </w:r>
      <m:oMath xmlns:a="http://schemas.openxmlformats.org/drawingml/2006/main" xmlns:pic="http://schemas.openxmlformats.org/drawingml/2006/picture">
        <m:sSub>
          <m:e>
            <m:r>
              <m:t>q</m:t>
            </m:r>
          </m:e>
          <m:sub>
            <m:r>
              <m:t>w</m:t>
            </m:r>
          </m:sub>
        </m:sSub>
      </m:oMath>
      <w:r>
        <w:t xml:space="preserve"> with median relative error 0.0005–0.0028 and </w:t>
      </w:r>
      <m:oMath xmlns:a="http://schemas.openxmlformats.org/drawingml/2006/main" xmlns:pic="http://schemas.openxmlformats.org/drawingml/2006/picture">
        <m:r>
          <m:t>R</m:t>
        </m:r>
      </m:oMath>
      <w:r>
        <w:t xml:space="preserve"> with 0.0003–0.0018 across the same noise levels, i.e. both parameters below 0.3%. The exact SG/FV Jacobian validation closes the loop (Figure 6C,D; Supplementary Table S19): the two sensitivities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the exact single-salt </w:t>
      </w:r>
      <m:oMath xmlns:a="http://schemas.openxmlformats.org/drawingml/2006/main" xmlns:pic="http://schemas.openxmlformats.org/drawingml/2006/picture">
        <m:r>
          <m:t>κ</m:t>
        </m:r>
      </m:oMath>
      <w:r>
        <w:t xml:space="preserve"> is </w:t>
      </w:r>
      <m:oMath xmlns:a="http://schemas.openxmlformats.org/drawingml/2006/main" xmlns:pic="http://schemas.openxmlformats.org/drawingml/2006/picture">
        <m:r>
          <m:t>4.9</m:t>
        </m:r>
        <m:r>
          <m:rPr>
            <m:sty m:val="p"/>
          </m:rPr>
          <m:t>×</m:t>
        </m:r>
        <m:sSup>
          <m:e>
            <m:r>
              <m:t>10</m:t>
            </m:r>
          </m:e>
          <m:sup>
            <m:r>
              <m:t>15</m:t>
            </m:r>
          </m:sup>
        </m:sSup>
      </m:oMath>
      <w:r>
        <w:t xml:space="preserve"> versus </w:t>
      </w:r>
      <m:oMath xmlns:a="http://schemas.openxmlformats.org/drawingml/2006/main" xmlns:pic="http://schemas.openxmlformats.org/drawingml/2006/picture">
        <m:r>
          <m:t>8.2</m:t>
        </m:r>
        <m:r>
          <m:rPr>
            <m:sty m:val="p"/>
          </m:rPr>
          <m:t>×</m:t>
        </m:r>
        <m:sSup>
          <m:e>
            <m:r>
              <m:t>10</m:t>
            </m:r>
          </m:e>
          <m:sup>
            <m:r>
              <m:t>8</m:t>
            </m:r>
          </m:sup>
        </m:sSup>
      </m:oMath>
      <w:r>
        <w:t xml:space="preserve"> for the operator, and the dual value agrees to within 1% (</w:t>
      </w:r>
      <m:oMath xmlns:a="http://schemas.openxmlformats.org/drawingml/2006/main" xmlns:pic="http://schemas.openxmlformats.org/drawingml/2006/picture">
        <m:r>
          <m:t>1.8</m:t>
        </m:r>
        <m:r>
          <m:rPr>
            <m:sty m:val="p"/>
          </m:rPr>
          <m:t>×</m:t>
        </m:r>
        <m:sSup>
          <m:e>
            <m:r>
              <m:t>10</m:t>
            </m:r>
          </m:e>
          <m:sup>
            <m:r>
              <m:t>5</m:t>
            </m:r>
          </m:sup>
        </m:sSup>
      </m:oMath>
      <w:r>
        <w:t xml:space="preserve"> versus </w:t>
      </w:r>
      <m:oMath xmlns:a="http://schemas.openxmlformats.org/drawingml/2006/main" xmlns:pic="http://schemas.openxmlformats.org/drawingml/2006/picture">
        <m:r>
          <m:t>1.76</m:t>
        </m:r>
        <m:r>
          <m:rPr>
            <m:sty m:val="p"/>
          </m:rPr>
          <m:t>×</m:t>
        </m:r>
        <m:sSup>
          <m:e>
            <m:r>
              <m:t>10</m:t>
            </m:r>
          </m:e>
          <m:sup>
            <m:r>
              <m:t>5</m:t>
            </m:r>
          </m:sup>
        </m:sSup>
      </m:oMath>
      <w:r>
        <w:t xml:space="preserve">). Both analyses agree that conductance-only conditioning exceeds </w:t>
      </w:r>
      <m:oMath xmlns:a="http://schemas.openxmlformats.org/drawingml/2006/main" xmlns:pic="http://schemas.openxmlformats.org/drawingml/2006/picture">
        <m:sSup>
          <m:e>
            <m:r>
              <m:t>10</m:t>
            </m:r>
          </m:e>
          <m:sup>
            <m:r>
              <m:t>8</m:t>
            </m:r>
          </m:sup>
        </m:sSup>
      </m:oMath>
      <w:r>
        <w:t xml:space="preserve"> and that the dual observable collapses it by ten orders of magnitude.</w:t>
      </w:r>
    </w:p>
    <w:p>
      <w:r>
        <w:t xml:space="preserve">Supplementary Table S20 verifies this picture with the exact float64 SG/FV solver at the benchmark state and at low salt. For ideal symmetric diffusivities,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oMath>
      <w:r>
        <w:t xml:space="preserve"> is </w:t>
      </w:r>
      <m:oMath xmlns:a="http://schemas.openxmlformats.org/drawingml/2006/main" xmlns:pic="http://schemas.openxmlformats.org/drawingml/2006/picture">
        <m:r>
          <m:t>7.9</m:t>
        </m:r>
        <m:r>
          <m:rPr>
            <m:sty m:val="p"/>
          </m:rPr>
          <m:t>×</m:t>
        </m:r>
        <m:sSup>
          <m:e>
            <m:r>
              <m:t>10</m:t>
            </m:r>
          </m:e>
          <m:sup>
            <m:r>
              <m:rPr>
                <m:sty m:val="p"/>
              </m:rPr>
              <m:t>−</m:t>
            </m:r>
            <m:r>
              <m:t>7</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the single-salt condition number is </w:t>
      </w:r>
      <m:oMath xmlns:a="http://schemas.openxmlformats.org/drawingml/2006/main" xmlns:pic="http://schemas.openxmlformats.org/drawingml/2006/picture">
        <m:r>
          <m:t>1.7</m:t>
        </m:r>
        <m:r>
          <m:rPr>
            <m:sty m:val="p"/>
          </m:rPr>
          <m:t>×</m:t>
        </m:r>
        <m:sSup>
          <m:e>
            <m:r>
              <m:t>10</m:t>
            </m:r>
          </m:e>
          <m:sup>
            <m:r>
              <m:t>17</m:t>
            </m:r>
          </m:sup>
        </m:sSup>
      </m:oMath>
      <w:r>
        <w:t>. KCl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0.966</m:t>
        </m:r>
      </m:oMath>
      <w:r>
        <w:t xml:space="preserve">) raises the sensitivity only to </w:t>
      </w:r>
      <m:oMath xmlns:a="http://schemas.openxmlformats.org/drawingml/2006/main" xmlns:pic="http://schemas.openxmlformats.org/drawingml/2006/picture">
        <m:r>
          <m:t>1.1</m:t>
        </m:r>
        <m:r>
          <m:rPr>
            <m:sty m:val="p"/>
          </m:rPr>
          <m:t>×</m:t>
        </m:r>
        <m:sSup>
          <m:e>
            <m:r>
              <m:t>10</m:t>
            </m:r>
          </m:e>
          <m:sup>
            <m:r>
              <m:rPr>
                <m:sty m:val="p"/>
              </m:rPr>
              <m:t>−</m:t>
            </m:r>
            <m:r>
              <m:t>5</m:t>
            </m:r>
          </m:sup>
        </m:sSup>
      </m:oMath>
      <w:r>
        <w:t xml:space="preserve"> and leaves </w:t>
      </w:r>
      <m:oMath xmlns:a="http://schemas.openxmlformats.org/drawingml/2006/main" xmlns:pic="http://schemas.openxmlformats.org/drawingml/2006/picture">
        <m:r>
          <m:t>κ</m:t>
        </m:r>
        <m:r>
          <m:rPr>
            <m:sty m:val="p"/>
          </m:rPr>
          <m:t>=</m:t>
        </m:r>
        <m:r>
          <m:t>1.3</m:t>
        </m:r>
        <m:r>
          <m:rPr>
            <m:sty m:val="p"/>
          </m:rPr>
          <m:t>×</m:t>
        </m:r>
        <m:sSup>
          <m:e>
            <m:r>
              <m:t>10</m:t>
            </m:r>
          </m:e>
          <m:sup>
            <m:r>
              <m:t>17</m:t>
            </m:r>
          </m:sup>
        </m:sSup>
      </m:oMath>
      <w:r>
        <w:t xml:space="preserve">; NaCl (0.655) gives </w:t>
      </w:r>
      <m:oMath xmlns:a="http://schemas.openxmlformats.org/drawingml/2006/main" xmlns:pic="http://schemas.openxmlformats.org/drawingml/2006/picture">
        <m:r>
          <m:t>1.4</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3.0</m:t>
        </m:r>
        <m:r>
          <m:rPr>
            <m:sty m:val="p"/>
          </m:rPr>
          <m:t>×</m:t>
        </m:r>
        <m:sSup>
          <m:e>
            <m:r>
              <m:t>10</m:t>
            </m:r>
          </m:e>
          <m:sup>
            <m:r>
              <m:t>16</m:t>
            </m:r>
          </m:sup>
        </m:sSup>
      </m:oMath>
      <w:r>
        <w:t xml:space="preserve">; even the strongly asymmetric ratio 0.20 gives </w:t>
      </w:r>
      <m:oMath xmlns:a="http://schemas.openxmlformats.org/drawingml/2006/main" xmlns:pic="http://schemas.openxmlformats.org/drawingml/2006/picture">
        <m:r>
          <m:t>4.6</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5.9</m:t>
        </m:r>
        <m:r>
          <m:rPr>
            <m:sty m:val="p"/>
          </m:rPr>
          <m:t>×</m:t>
        </m:r>
        <m:sSup>
          <m:e>
            <m:r>
              <m:t>10</m:t>
            </m:r>
          </m:e>
          <m:sup>
            <m:r>
              <m:t>15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sensitivities are larger but </w:t>
      </w:r>
      <m:oMath xmlns:a="http://schemas.openxmlformats.org/drawingml/2006/main" xmlns:pic="http://schemas.openxmlformats.org/drawingml/2006/picture">
        <m:r>
          <m:t>κ</m:t>
        </m:r>
      </m:oMath>
      <w:r>
        <w:t xml:space="preserve"> stays above </w:t>
      </w:r>
      <m:oMath xmlns:a="http://schemas.openxmlformats.org/drawingml/2006/main" xmlns:pic="http://schemas.openxmlformats.org/drawingml/2006/picture">
        <m:r>
          <m:t>3.6</m:t>
        </m:r>
        <m:r>
          <m:rPr>
            <m:sty m:val="p"/>
          </m:rPr>
          <m:t>×</m:t>
        </m:r>
        <m:sSup>
          <m:e>
            <m:r>
              <m:t>10</m:t>
            </m:r>
          </m:e>
          <m:sup>
            <m:r>
              <m:t>12</m:t>
            </m:r>
          </m:sup>
        </m:sSup>
      </m:oMath>
      <w:r>
        <w:t xml:space="preserve">. Adding the near-wall selectivity </w:t>
      </w:r>
      <m:oMath xmlns:a="http://schemas.openxmlformats.org/drawingml/2006/main" xmlns:pic="http://schemas.openxmlformats.org/drawingml/2006/picture">
        <m:r>
          <m:t>S</m:t>
        </m:r>
      </m:oMath>
      <w:r>
        <w:t xml:space="preserve"> collapses </w:t>
      </w:r>
      <m:oMath xmlns:a="http://schemas.openxmlformats.org/drawingml/2006/main" xmlns:pic="http://schemas.openxmlformats.org/drawingml/2006/picture">
        <m:r>
          <m:t>κ</m:t>
        </m:r>
      </m:oMath>
      <w:r>
        <w:t xml:space="preserve"> to </w:t>
      </w:r>
      <m:oMath xmlns:a="http://schemas.openxmlformats.org/drawingml/2006/main" xmlns:pic="http://schemas.openxmlformats.org/drawingml/2006/picture">
        <m:r>
          <m:t>4.0</m:t>
        </m:r>
        <m:r>
          <m:rPr>
            <m:sty m:val="p"/>
          </m:rPr>
          <m:t>×</m:t>
        </m:r>
        <m:sSup>
          <m:e>
            <m:r>
              <m:t>10</m:t>
            </m:r>
          </m:e>
          <m:sup>
            <m:r>
              <m:t>6</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and </w:t>
      </w:r>
      <m:oMath xmlns:a="http://schemas.openxmlformats.org/drawingml/2006/main" xmlns:pic="http://schemas.openxmlformats.org/drawingml/2006/picture">
        <m:r>
          <m:t>6.3</m:t>
        </m:r>
        <m:r>
          <m:rPr>
            <m:sty m:val="p"/>
          </m:rPr>
          <m:t>×</m:t>
        </m:r>
        <m:sSup>
          <m:e>
            <m:r>
              <m:t>10</m:t>
            </m:r>
          </m:e>
          <m:sup>
            <m:r>
              <m:t>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for every ratio, a reduction of six to ten orders of magnitude. Diffusivity asymmetry therefore changes the prefactor of the linear channel but does not remove the identifiability limit at 1% noise; the non-monotonic </w:t>
      </w:r>
      <m:oMath xmlns:a="http://schemas.openxmlformats.org/drawingml/2006/main" xmlns:pic="http://schemas.openxmlformats.org/drawingml/2006/picture">
        <m:r>
          <m:t>κ</m:t>
        </m:r>
      </m:oMath>
      <w:r>
        <w:t xml:space="preserve"> (a larger diffusivity difference gives a smaller </w:t>
      </w:r>
      <m:oMath xmlns:a="http://schemas.openxmlformats.org/drawingml/2006/main" xmlns:pic="http://schemas.openxmlformats.org/drawingml/2006/picture">
        <m:r>
          <m:t>κ</m:t>
        </m:r>
      </m:oMath>
      <w:r>
        <w:t>) reflects the larger charge sensitivity, not a better-conditioned inverse.</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selectivity observable that breaks the degeneracy is not a purely theoretical construct. In a symmetric binary electrolyte the near-wall selectivity is, to leading order, the transference-number imbalance </w:t>
      </w:r>
      <m:oMath xmlns:a="http://schemas.openxmlformats.org/drawingml/2006/main" xmlns:pic="http://schemas.openxmlformats.org/drawingml/2006/picture">
        <m:r>
          <m:t>S</m:t>
        </m:r>
        <m:r>
          <m:rPr>
            <m:sty m:val="p"/>
          </m:rPr>
          <m:t>≃</m:t>
        </m:r>
        <m:r>
          <m:t>2</m:t>
        </m:r>
        <m:sSub>
          <m:e>
            <m:r>
              <m:t>t</m:t>
            </m:r>
          </m:e>
          <m:sub>
            <m:r>
              <m:rPr>
                <m:sty m:val="p"/>
              </m:rPr>
              <m:t>+</m:t>
            </m:r>
          </m:sub>
        </m:sSub>
        <m:r>
          <m:rPr>
            <m:sty m:val="p"/>
          </m:rPr>
          <m:t>−</m:t>
        </m:r>
        <m:r>
          <m:t>1</m:t>
        </m:r>
      </m:oMath>
      <w:r>
        <w:t xml:space="preserve">, so a concentration-cell reversal potential </w:t>
      </w:r>
      <m:oMath xmlns:a="http://schemas.openxmlformats.org/drawingml/2006/main" xmlns:pic="http://schemas.openxmlformats.org/drawingml/2006/picture">
        <m:sSub>
          <m:e>
            <m:r>
              <m:t>V</m:t>
            </m:r>
          </m:e>
          <m:sub>
            <m:r>
              <m:rPr>
                <m:sty m:val="p"/>
              </m:rPr>
              <m:t>r</m:t>
            </m:r>
            <m:r>
              <m:rPr>
                <m:sty m:val="p"/>
              </m:rPr>
              <m:t>e</m:t>
            </m:r>
            <m:r>
              <m:rPr>
                <m:sty m:val="p"/>
              </m:rPr>
              <m:t>v</m:t>
            </m:r>
          </m:sub>
        </m:sSub>
      </m:oMath>
      <w:r>
        <w:t xml:space="preserve"> (or the streaming potential under a pressure gradient) provides a direct, calibration-based estimate of </w:t>
      </w:r>
      <m:oMath xmlns:a="http://schemas.openxmlformats.org/drawingml/2006/main" xmlns:pic="http://schemas.openxmlformats.org/drawingml/2006/picture">
        <m:sSub>
          <m:e>
            <m:r>
              <m:t>t</m:t>
            </m:r>
          </m:e>
          <m:sub>
            <m:r>
              <m:rPr>
                <m:sty m:val="p"/>
              </m:rPr>
              <m:t>+</m:t>
            </m:r>
          </m:sub>
        </m:sSub>
      </m:oMath>
      <w:r>
        <w:t xml:space="preserve"> and hence of </w:t>
      </w:r>
      <m:oMath xmlns:a="http://schemas.openxmlformats.org/drawingml/2006/main" xmlns:pic="http://schemas.openxmlformats.org/drawingml/2006/picture">
        <m:r>
          <m:t>S</m:t>
        </m:r>
      </m:oMath>
      <w:r>
        <w:t xml:space="preserve"> [20–23].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0.23%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The central physical result is a limit, not a speed-up: for symmetric binary electrolytes with nearly equal ionic diffusivities, such as KCl, and a conductance-only protocol, fixed wall charge is fundamentally unidentifiable at 1% noise regardless of surrogate or solver accuracy, as confirmed by the exact SG/FV Fisher matrix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Single- and multi-salt current–voltage sweeps cannot remove this degeneracy. Differential diffusivity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channel of relative size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xml:space="preserve">, but the single-salt conditioning remains above </w:t>
      </w:r>
      <m:oMath xmlns:a="http://schemas.openxmlformats.org/drawingml/2006/main" xmlns:pic="http://schemas.openxmlformats.org/drawingml/2006/picture">
        <m:sSup>
          <m:e>
            <m:r>
              <m:t>10</m:t>
            </m:r>
          </m:e>
          <m:sup>
            <m:r>
              <m:t>15</m:t>
            </m:r>
          </m:sup>
        </m:sSup>
      </m:oMath>
      <w:r>
        <w:t xml:space="preserve"> even for NaCl and a strongly asymmetric macro-ion electrolyte (Supplementary Table S20).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