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0A2540"/>
          <w:sz w:val="72"/>
          <w:szCs w:val="72"/>
        </w:rPr>
        <w:t xml:space="preserve">APOTEKH</w:t>
      </w:r>
    </w:p>
    <w:p>
      <w:pPr>
        <w:spacing w:after="160" w:before="0"/>
        <w:jc w:val="center"/>
      </w:pPr>
      <w:r>
        <w:rPr>
          <w:rFonts w:ascii="Arial" w:cs="Arial" w:eastAsia="Arial" w:hAnsi="Arial"/>
          <w:color w:val="4A5568"/>
          <w:sz w:val="32"/>
          <w:szCs w:val="32"/>
        </w:rPr>
        <w:t xml:space="preserve">Revenue &amp; Funder Strategy</w:t>
      </w:r>
    </w:p>
    <w:p>
      <w:pPr>
        <w:spacing w:after="800" w:before="0"/>
        <w:jc w:val="center"/>
      </w:pPr>
      <w:r>
        <w:rPr>
          <w:rFonts w:ascii="Arial" w:cs="Arial" w:eastAsia="Arial" w:hAnsi="Arial"/>
          <w:i/>
          <w:iCs/>
          <w:color w:val="00A878"/>
          <w:sz w:val="24"/>
          <w:szCs w:val="24"/>
        </w:rPr>
        <w:t xml:space="preserve">Pricing Architecture · Revenue Streams · Funder Sequencing</w:t>
      </w:r>
    </w:p>
    <w:p>
      <w:pPr>
        <w:spacing w:after="80" w:before="0"/>
        <w:jc w:val="center"/>
      </w:pPr>
      <w:r>
        <w:rPr>
          <w:rFonts w:ascii="Arial" w:cs="Arial" w:eastAsia="Arial" w:hAnsi="Arial"/>
          <w:color w:val="4A5568"/>
          <w:sz w:val="22"/>
          <w:szCs w:val="22"/>
        </w:rPr>
        <w:t xml:space="preserve">Elihaki M. Y. Javan | Founder &amp; CEO</w:t>
      </w:r>
    </w:p>
    <w:p>
      <w:pPr>
        <w:spacing w:after="80" w:before="0"/>
        <w:jc w:val="center"/>
      </w:pPr>
      <w:r>
        <w:rPr>
          <w:rFonts w:ascii="Arial" w:cs="Arial" w:eastAsia="Arial" w:hAnsi="Arial"/>
          <w:color w:val="94A3B8"/>
          <w:sz w:val="22"/>
          <w:szCs w:val="22"/>
        </w:rPr>
        <w:t xml:space="preserve">Arusha, Tanzania | May 2026</w:t>
      </w:r>
    </w:p>
    <w:p>
      <w:pPr>
        <w:spacing w:after="0" w:before="80"/>
        <w:jc w:val="center"/>
      </w:pPr>
      <w:r>
        <w:rPr>
          <w:rFonts w:ascii="Arial" w:cs="Arial" w:eastAsia="Arial" w:hAnsi="Arial"/>
          <w:b/>
          <w:bCs/>
          <w:color w:val="F7B731"/>
          <w:sz w:val="20"/>
          <w:szCs w:val="20"/>
        </w:rPr>
        <w:t xml:space="preserve">Confidential</w:t>
      </w:r>
    </w:p>
    <w:p>
      <w:r>
        <w:br w:type="page"/>
      </w:r>
    </w:p>
    <w:p>
      <w:pPr>
        <w:pStyle w:val="Heading1"/>
        <w:pageBreakBefore/>
        <w:spacing w:after="160" w:before="480"/>
      </w:pPr>
      <w:r>
        <w:rPr>
          <w:rFonts w:ascii="Arial" w:cs="Arial" w:eastAsia="Arial" w:hAnsi="Arial"/>
          <w:b/>
          <w:bCs/>
          <w:color w:val="0A2540"/>
          <w:sz w:val="36"/>
          <w:szCs w:val="36"/>
        </w:rPr>
        <w:t xml:space="preserve">1. Pricing Architecture</w:t>
      </w:r>
    </w:p>
    <w:p>
      <w:pPr>
        <w:spacing w:after="80" w:before="80"/>
      </w:pPr>
      <w:r>
        <w:rPr>
          <w:rFonts w:ascii="Arial" w:cs="Arial" w:eastAsia="Arial" w:hAnsi="Arial"/>
          <w:color w:val="4A5568"/>
          <w:sz w:val="22"/>
          <w:szCs w:val="22"/>
        </w:rPr>
        <w:t xml:space="preserve">The pricing model is built for Tanzania's real economic environment: low average margin pharmacies (10–20% on prescription drugs), significant variation between urban chain pharmacies and rural ADDOs, and a market where the first genuine digital tool will either lock in loyalty or lose it entirely on the trial.</w:t>
      </w:r>
    </w:p>
    <w:p>
      <w:pPr>
        <w:spacing w:after="80" w:before="80"/>
      </w:pPr>
      <w:r>
        <w:rPr>
          <w:rFonts w:ascii="Arial" w:cs="Arial" w:eastAsia="Arial" w:hAnsi="Arial"/>
          <w:color w:val="4A5568"/>
          <w:sz w:val="22"/>
          <w:szCs w:val="22"/>
        </w:rPr>
        <w:t xml:space="preserve">The freemium model removes the single biggest adoption barrier — fear of dependency on a system an owner may not be able to afford later. Once embedded, the upgrade conversation becomes a question of when, not whether.</w:t>
      </w:r>
    </w:p>
    <w:p>
      <w:pPr>
        <w:pStyle w:val="Heading2"/>
        <w:spacing w:after="120" w:before="320"/>
      </w:pPr>
      <w:r>
        <w:rPr>
          <w:rFonts w:ascii="Arial" w:cs="Arial" w:eastAsia="Arial" w:hAnsi="Arial"/>
          <w:b/>
          <w:bCs/>
          <w:color w:val="0A2540"/>
          <w:sz w:val="26"/>
          <w:szCs w:val="26"/>
        </w:rPr>
        <w:t xml:space="preserve">Tier structure (canonical — May 2026, source: pricing.ts)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200"/>
        <w:gridCol w:w="3360"/>
      </w:tblGrid>
      <w:tr>
        <w:trPr>
          <w:tblHeader/>
        </w:trPr>
        <w:tc>
          <w:tcPr>
            <w:tcW w:type="dxa" w:w="16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6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Monthly (TZS)</w:t>
            </w:r>
          </w:p>
        </w:tc>
        <w:tc>
          <w:tcPr>
            <w:tcW w:type="dxa" w:w="16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Annual (TZS)</w:t>
            </w:r>
          </w:p>
        </w:tc>
        <w:tc>
          <w:tcPr>
            <w:tcW w:type="dxa" w:w="1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Users</w:t>
            </w:r>
          </w:p>
        </w:tc>
        <w:tc>
          <w:tcPr>
            <w:tcW w:type="dxa" w:w="33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includes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94A3B8"/>
                <w:sz w:val="20"/>
                <w:szCs w:val="20"/>
              </w:rPr>
              <w:t xml:space="preserve">ADDO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94A3B8"/>
                <w:sz w:val="20"/>
                <w:szCs w:val="20"/>
              </w:rPr>
              <w:t xml:space="preserve">20,000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94A3B8"/>
                <w:sz w:val="20"/>
                <w:szCs w:val="20"/>
              </w:rPr>
              <w:t xml:space="preserve">200,000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94A3B8"/>
                <w:sz w:val="20"/>
                <w:szCs w:val="20"/>
              </w:rPr>
              <w:t xml:space="preserve">3</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94A3B8"/>
                <w:sz w:val="20"/>
                <w:szCs w:val="20"/>
              </w:rPr>
              <w:t xml:space="preserve">1 outlet. POS + FEFO inventory + Clinical Decision Support Suite + DLDM compliance + Knowledge Hub (read-only). 14-day trial.</w:t>
            </w:r>
          </w:p>
        </w:tc>
      </w:tr>
      <w:tr>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bCs/>
                <w:color w:val="00A878"/>
                <w:sz w:val="20"/>
                <w:szCs w:val="20"/>
              </w:rPr>
              <w:t xml:space="preserve">Basic</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39,000</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390,000</w:t>
            </w:r>
          </w:p>
        </w:tc>
        <w:tc>
          <w:tcPr>
            <w:tcW w:type="dxa" w:w="1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w:t>
            </w:r>
          </w:p>
        </w:tc>
        <w:tc>
          <w:tcPr>
            <w:tcW w:type="dxa" w:w="3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 outlets. Everything in ADDO + Owner Dashboard, roles &amp; permissions, void/reissue audit trail, full TMDA + PC compliance tracker.</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0A878"/>
                <w:sz w:val="20"/>
                <w:szCs w:val="20"/>
              </w:rPr>
              <w:t xml:space="preserve">Standard</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3 outlets. Everything in Basic + accounting module, customer history, Patient Ordering Portal, marketing campaigns, multi-shop reporting, full Knowledge Hub. (Popular)</w:t>
            </w:r>
          </w:p>
        </w:tc>
      </w:tr>
      <w:tr>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bCs/>
                <w:color w:val="00A878"/>
                <w:sz w:val="20"/>
                <w:szCs w:val="20"/>
              </w:rPr>
              <w:t xml:space="preserve">Premium</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75,000</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750,000</w:t>
            </w:r>
          </w:p>
        </w:tc>
        <w:tc>
          <w:tcPr>
            <w:tcW w:type="dxa" w:w="1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20</w:t>
            </w:r>
          </w:p>
        </w:tc>
        <w:tc>
          <w:tcPr>
            <w:tcW w:type="dxa" w:w="3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 outlets. Everything in Standard + demand forecasting, dead stock scoring, revenue projections, peer benchmarking, Knowledge Hub with courses.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0A878"/>
                <w:sz w:val="20"/>
                <w:szCs w:val="20"/>
              </w:rPr>
              <w:t xml:space="preserve">Wholesale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100,000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1,000,000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 wholesale outlet. B2B orders, delivery manifests, credit notes, per-client pricing, returns management. No retail dispensing.</w:t>
            </w:r>
          </w:p>
        </w:tc>
      </w:tr>
      <w:tr>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bCs/>
                <w:color w:val="00A878"/>
                <w:sz w:val="20"/>
                <w:szCs w:val="20"/>
              </w:rPr>
              <w:t xml:space="preserve">Enterprise</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Negotiated</w:t>
            </w:r>
          </w:p>
        </w:tc>
        <w:tc>
          <w:tcPr>
            <w:tcW w:type="dxa" w:w="16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Negotiated</w:t>
            </w:r>
          </w:p>
        </w:tc>
        <w:tc>
          <w:tcPr>
            <w:tcW w:type="dxa" w:w="1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Unlimited</w:t>
            </w:r>
          </w:p>
        </w:tc>
        <w:tc>
          <w:tcPr>
            <w:tcW w:type="dxa" w:w="3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Chains 6+ outlets. All Premium features. Custom reporting, API access.</w:t>
            </w:r>
          </w:p>
        </w:tc>
      </w:tr>
    </w:tbl>
    <w:p>
      <w:pPr>
        <w:spacing w:after="80" w:before="80"/>
      </w:pPr>
      <w:r>
        <w:rPr>
          <w:rFonts w:ascii="Arial" w:cs="Arial" w:eastAsia="Arial" w:hAnsi="Arial"/>
          <w:color w:val="4A5568"/>
          <w:sz w:val="22"/>
          <w:szCs w:val="22"/>
        </w:rPr>
        <w:t xml:space="preserve"/>
      </w:r>
    </w:p>
    <w:p>
      <w:pPr>
        <w:spacing w:after="80" w:before="80"/>
      </w:pPr>
      <w:r>
        <w:rPr>
          <w:rFonts w:ascii="Arial" w:cs="Arial" w:eastAsia="Arial" w:hAnsi="Arial"/>
          <w:color w:val="4A5568"/>
          <w:sz w:val="22"/>
          <w:szCs w:val="22"/>
        </w:rPr>
        <w:t xml:space="preserve">Annual billing = 10x monthly (two months free). All tiers include a 14-day trial at full feature access. At trial end: convert or fall to grace access. No extensions — the hard conversion date signals that APOTEKH is an operational tool, not a demo.</w:t>
      </w:r>
    </w:p>
    <w:p>
      <w:pPr>
        <w:pStyle w:val="Heading2"/>
        <w:spacing w:after="120" w:before="320"/>
      </w:pPr>
      <w:r>
        <w:rPr>
          <w:rFonts w:ascii="Arial" w:cs="Arial" w:eastAsia="Arial" w:hAnsi="Arial"/>
          <w:b/>
          <w:bCs/>
          <w:color w:val="0A2540"/>
          <w:sz w:val="26"/>
          <w:szCs w:val="26"/>
        </w:rPr>
        <w:t xml:space="preserve">Grace access — continuity over cutoff</w:t>
      </w:r>
    </w:p>
    <w:p>
      <w:pPr>
        <w:spacing w:after="80" w:before="80"/>
      </w:pPr>
      <w:r>
        <w:rPr>
          <w:rFonts w:ascii="Arial" w:cs="Arial" w:eastAsia="Arial" w:hAnsi="Arial"/>
          <w:color w:val="4A5568"/>
          <w:sz w:val="22"/>
          <w:szCs w:val="22"/>
        </w:rPr>
        <w:t xml:space="preserve">APOTEKH does not terminate a pharmacy's access when a subscription lapses. If an owner cannot pay, they retain limited operational access: basic dispensing records and inventory visibility with a single user. This is a permanent policy, not a trial extension.</w:t>
      </w:r>
    </w:p>
    <w:p>
      <w:pPr>
        <w:spacing w:after="80" w:before="80"/>
      </w:pPr>
      <w:r>
        <w:rPr>
          <w:rFonts w:ascii="Arial" w:cs="Arial" w:eastAsia="Arial" w:hAnsi="Arial"/>
          <w:color w:val="4A5568"/>
          <w:sz w:val="22"/>
          <w:szCs w:val="22"/>
        </w:rPr>
        <w:t xml:space="preserve">This removes the biggest adoption barrier — fear of future dependency. The owner commits knowing they will never be locked out of their data.</w:t>
      </w:r>
    </w:p>
    <w:p>
      <w:pPr>
        <w:spacing w:after="80" w:before="80"/>
      </w:pPr>
      <w:r>
        <w:rPr>
          <w:rFonts w:ascii="Arial" w:cs="Arial" w:eastAsia="Arial" w:hAnsi="Arial"/>
          <w:color w:val="4A5568"/>
          <w:sz w:val="22"/>
          <w:szCs w:val="22"/>
        </w:rPr>
        <w:t xml:space="preserve">Grace access does not include:</w:t>
      </w:r>
    </w:p>
    <w:p>
      <w:pPr>
        <w:pStyle w:val="ListParagraph"/>
        <w:numPr>
          <w:ilvl w:val="0"/>
          <w:numId w:val="2"/>
        </w:numPr>
        <w:spacing w:after="60" w:before="60"/>
      </w:pPr>
      <w:r>
        <w:rPr>
          <w:rFonts w:ascii="Arial" w:cs="Arial" w:eastAsia="Arial" w:hAnsi="Arial"/>
          <w:color w:val="4A5568"/>
          <w:sz w:val="22"/>
          <w:szCs w:val="22"/>
        </w:rPr>
        <w:t xml:space="preserve">Clinical Decision Support Suite (drug interactions, AWaRe classification, contraindication alerts, alternative medicine suggestions, dose calculator, AI counselling)</w:t>
      </w:r>
    </w:p>
    <w:p>
      <w:pPr>
        <w:pStyle w:val="ListParagraph"/>
        <w:numPr>
          <w:ilvl w:val="0"/>
          <w:numId w:val="2"/>
        </w:numPr>
        <w:spacing w:after="60" w:before="60"/>
      </w:pPr>
      <w:r>
        <w:rPr>
          <w:rFonts w:ascii="Arial" w:cs="Arial" w:eastAsia="Arial" w:hAnsi="Arial"/>
          <w:color w:val="4A5568"/>
          <w:sz w:val="22"/>
          <w:szCs w:val="22"/>
        </w:rPr>
        <w:t xml:space="preserve">Demand forecasting, dead stock scoring, revenue projections</w:t>
      </w:r>
    </w:p>
    <w:p>
      <w:pPr>
        <w:pStyle w:val="ListParagraph"/>
        <w:numPr>
          <w:ilvl w:val="0"/>
          <w:numId w:val="2"/>
        </w:numPr>
        <w:spacing w:after="60" w:before="60"/>
      </w:pPr>
      <w:r>
        <w:rPr>
          <w:rFonts w:ascii="Arial" w:cs="Arial" w:eastAsia="Arial" w:hAnsi="Arial"/>
          <w:color w:val="4A5568"/>
          <w:sz w:val="22"/>
          <w:szCs w:val="22"/>
        </w:rPr>
        <w:t xml:space="preserve">Wholesale or B2B ordering module</w:t>
      </w:r>
    </w:p>
    <w:p>
      <w:pPr>
        <w:pStyle w:val="ListParagraph"/>
        <w:numPr>
          <w:ilvl w:val="0"/>
          <w:numId w:val="2"/>
        </w:numPr>
        <w:spacing w:after="60" w:before="60"/>
      </w:pPr>
      <w:r>
        <w:rPr>
          <w:rFonts w:ascii="Arial" w:cs="Arial" w:eastAsia="Arial" w:hAnsi="Arial"/>
          <w:color w:val="4A5568"/>
          <w:sz w:val="22"/>
          <w:szCs w:val="22"/>
        </w:rPr>
        <w:t xml:space="preserve">Multi-user access and role-based permissions</w:t>
      </w:r>
    </w:p>
    <w:p>
      <w:pPr>
        <w:pStyle w:val="ListParagraph"/>
        <w:numPr>
          <w:ilvl w:val="0"/>
          <w:numId w:val="2"/>
        </w:numPr>
        <w:spacing w:after="60" w:before="60"/>
      </w:pPr>
      <w:r>
        <w:rPr>
          <w:rFonts w:ascii="Arial" w:cs="Arial" w:eastAsia="Arial" w:hAnsi="Arial"/>
          <w:color w:val="4A5568"/>
          <w:sz w:val="22"/>
          <w:szCs w:val="22"/>
        </w:rPr>
        <w:t xml:space="preserve">Data export, API access, custom reports</w:t>
      </w:r>
    </w:p>
    <w:p>
      <w:pPr>
        <w:spacing w:after="80" w:before="80"/>
      </w:pPr>
      <w:r>
        <w:rPr>
          <w:rFonts w:ascii="Arial" w:cs="Arial" w:eastAsia="Arial" w:hAnsi="Arial"/>
          <w:color w:val="4A5568"/>
          <w:sz w:val="22"/>
          <w:szCs w:val="22"/>
        </w:rPr>
        <w:t xml:space="preserve"/>
      </w:r>
    </w:p>
    <w:p>
      <w:pPr>
        <w:pBdr>
          <w:left w:val="single" w:color="00A878" w:sz="12" w:space="8"/>
        </w:pBdr>
        <w:shd w:fill="F0FFF8" w:val="clear"/>
        <w:spacing w:after="120" w:before="120"/>
        <w:ind w:left="360" w:right="360"/>
      </w:pPr>
      <w:r>
        <w:rPr>
          <w:rFonts w:ascii="Arial" w:cs="Arial" w:eastAsia="Arial" w:hAnsi="Arial"/>
          <w:i/>
          <w:iCs/>
          <w:color w:val="0A2540"/>
          <w:sz w:val="22"/>
          <w:szCs w:val="22"/>
        </w:rPr>
        <w:t xml:space="preserve">The Clinical Decision Support Suite is available to every paid tier — ADDO through Premium. It is never gated behind Standard or above. A Superintendent Pharmacist whose licence is at stake will not use a system that holds back clinical safety tools.</w:t>
      </w:r>
    </w:p>
    <w:p>
      <w:pPr>
        <w:pStyle w:val="Heading2"/>
        <w:spacing w:after="120" w:before="320"/>
      </w:pPr>
      <w:r>
        <w:rPr>
          <w:rFonts w:ascii="Arial" w:cs="Arial" w:eastAsia="Arial" w:hAnsi="Arial"/>
          <w:b/>
          <w:bCs/>
          <w:color w:val="0A2540"/>
          <w:sz w:val="26"/>
          <w:szCs w:val="26"/>
        </w:rPr>
        <w:t xml:space="preserve">Early revenue milestone</w:t>
      </w:r>
    </w:p>
    <w:p>
      <w:pPr>
        <w:spacing w:after="80" w:before="80"/>
      </w:pPr>
      <w:r>
        <w:rPr>
          <w:rFonts w:ascii="Arial" w:cs="Arial" w:eastAsia="Arial" w:hAnsi="Arial"/>
          <w:color w:val="4A5568"/>
          <w:sz w:val="22"/>
          <w:szCs w:val="22"/>
        </w:rPr>
        <w:t xml:space="preserve">10 pharmacies at Standard tier = TZS 550,000/month recurring. This covers APOTEKH's operating costs and proves the commercial model before any external funding conversation.</w:t>
      </w:r>
    </w:p>
    <w:p>
      <w:pPr>
        <w:spacing w:after="80" w:before="80"/>
      </w:pPr>
      <w:r>
        <w:rPr>
          <w:rFonts w:ascii="Arial" w:cs="Arial" w:eastAsia="Arial" w:hAnsi="Arial"/>
          <w:color w:val="4A5568"/>
          <w:sz w:val="22"/>
          <w:szCs w:val="22"/>
        </w:rPr>
        <w:t xml:space="preserve">50 pharmacies at blended average TZS 55,000/month = TZS 2,750,000/month (TZS 33M/year). This is the threshold for credible investor conversation and begins funding a developer engagement.</w:t>
      </w:r>
    </w:p>
    <w:p>
      <w:pPr>
        <w:pStyle w:val="Heading1"/>
        <w:pageBreakBefore/>
        <w:spacing w:after="160" w:before="480"/>
      </w:pPr>
      <w:r>
        <w:rPr>
          <w:rFonts w:ascii="Arial" w:cs="Arial" w:eastAsia="Arial" w:hAnsi="Arial"/>
          <w:b/>
          <w:bCs/>
          <w:color w:val="0A2540"/>
          <w:sz w:val="36"/>
          <w:szCs w:val="36"/>
        </w:rPr>
        <w:t xml:space="preserve">2. Revenue Streams</w:t>
      </w:r>
    </w:p>
    <w:p>
      <w:pPr>
        <w:spacing w:after="80" w:before="80"/>
      </w:pPr>
      <w:r>
        <w:rPr>
          <w:rFonts w:ascii="Arial" w:cs="Arial" w:eastAsia="Arial" w:hAnsi="Arial"/>
          <w:color w:val="4A5568"/>
          <w:sz w:val="22"/>
          <w:szCs w:val="22"/>
        </w:rPr>
        <w:t xml:space="preserve">APOTEKH's revenue architecture is designed around a core principle: the pharmacy subscription stays low-cost and accessible. Revenue growth comes from the network and data layer, not from charging pharmacy owners heavily. The pharmacy is the access point. The subscription is the entry fee to a network that generates revenue in ways invisible to the pharmacy.</w:t>
      </w:r>
    </w:p>
    <w:p>
      <w:pPr>
        <w:pStyle w:val="Heading2"/>
        <w:spacing w:after="120" w:before="320"/>
      </w:pPr>
      <w:r>
        <w:rPr>
          <w:rFonts w:ascii="Arial" w:cs="Arial" w:eastAsia="Arial" w:hAnsi="Arial"/>
          <w:b/>
          <w:bCs/>
          <w:color w:val="0A2540"/>
          <w:sz w:val="26"/>
          <w:szCs w:val="26"/>
        </w:rPr>
        <w:t xml:space="preserve">Revenue streams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Revenue Stream</w:t>
            </w:r>
          </w:p>
        </w:tc>
        <w:tc>
          <w:tcPr>
            <w:tcW w:type="dxa" w:w="1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Pays</w:t>
            </w:r>
          </w:p>
        </w:tc>
        <w:tc>
          <w:tcPr>
            <w:tcW w:type="dxa" w:w="39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SaaS Subscriptions (primary)</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1+</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Pharmacy owners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Core recurring revenue. Freemium base builds user count. Paid tiers generate MRR from day one.</w:t>
            </w:r>
          </w:p>
        </w:tc>
      </w:tr>
      <w:tr>
        <w:tc>
          <w:tcPr>
            <w:tcW w:type="dxa" w:w="2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CPD Sponsorship</w:t>
            </w:r>
          </w:p>
        </w:tc>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Pharma companies</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Pharmaceutical companies sponsor CPD content within the knowledge hub. Consistent with PST and PC professional development frameworks.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Institutional Licensing</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Mission hospitals / NGOs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Licensing APOTEKH to NGO pharmacy networks, faith-based hospitals, and institutional dispensaries at negotiated rates.</w:t>
            </w:r>
          </w:p>
        </w:tc>
      </w:tr>
      <w:tr>
        <w:tc>
          <w:tcPr>
            <w:tcW w:type="dxa" w:w="2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Research Partnership MOUs</w:t>
            </w:r>
          </w:p>
        </w:tc>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2–3</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Grant-funded academic partners</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MUHAS identified as primary research MOU partner. LSHTM (Wave 3 governance). Grants fund access to aggregated dispensing data.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Data Licensing</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NGOs, Pharma, Government</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Anonymised, aggregated dispensing data. Six identified Tanzania healthcare data gaps. 200+ pharmacy threshold required for meaningful dataset.</w:t>
            </w:r>
          </w:p>
        </w:tc>
      </w:tr>
      <w:tr>
        <w:tc>
          <w:tcPr>
            <w:tcW w:type="dxa" w:w="2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B2B Marketplace Commission (1–2%)</w:t>
            </w:r>
          </w:p>
        </w:tc>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Wholesale suppliers</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Commission on transactions through the closed B2B wholesale network once network density is achieved.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API Access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Health platforms / developers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API licensing to health platforms seeking pharmacy network connectivity or drug database access.</w:t>
            </w:r>
          </w:p>
        </w:tc>
      </w:tr>
      <w:tr>
        <w:tc>
          <w:tcPr>
            <w:tcW w:type="dxa" w:w="2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NHIF Facilitation Fees</w:t>
            </w:r>
          </w:p>
        </w:tc>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Deferred</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Not primary</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NHIF reimbursement rates fall below market purchase prices. Private pharmacies lose money per NHIF claim. NHIF integration is removed from the active product roadmap.</w:t>
            </w:r>
          </w:p>
        </w:tc>
      </w:tr>
    </w:tbl>
    <w:p>
      <w:pPr>
        <w:spacing w:after="80" w:before="80"/>
      </w:pPr>
      <w:r>
        <w:rPr>
          <w:rFonts w:ascii="Arial" w:cs="Arial" w:eastAsia="Arial" w:hAnsi="Arial"/>
          <w:color w:val="4A5568"/>
          <w:sz w:val="22"/>
          <w:szCs w:val="22"/>
        </w:rPr>
        <w:t xml:space="preserve"/>
      </w:r>
    </w:p>
    <w:p>
      <w:pPr>
        <w:pStyle w:val="Heading2"/>
        <w:spacing w:after="120" w:before="320"/>
      </w:pPr>
      <w:r>
        <w:rPr>
          <w:rFonts w:ascii="Arial" w:cs="Arial" w:eastAsia="Arial" w:hAnsi="Arial"/>
          <w:b/>
          <w:bCs/>
          <w:color w:val="0A2540"/>
          <w:sz w:val="26"/>
          <w:szCs w:val="26"/>
        </w:rPr>
        <w:t xml:space="preserve">The data layer — Phase 3 architecture</w:t>
      </w:r>
    </w:p>
    <w:p>
      <w:pPr>
        <w:spacing w:after="80" w:before="80"/>
      </w:pPr>
      <w:r>
        <w:rPr>
          <w:rFonts w:ascii="Arial" w:cs="Arial" w:eastAsia="Arial" w:hAnsi="Arial"/>
          <w:color w:val="4A5568"/>
          <w:sz w:val="22"/>
          <w:szCs w:val="22"/>
        </w:rPr>
        <w:t xml:space="preserve">The anonymised, aggregated dispensing data generated by paying customers fills six identified Tanzania healthcare data gaps simultaneously — without any additional collection burden on pharmacies. APOTEKH generates this data as a byproduct of the OS doing its primary job:</w:t>
      </w:r>
    </w:p>
    <w:p>
      <w:pPr>
        <w:pStyle w:val="ListParagraph"/>
        <w:numPr>
          <w:ilvl w:val="0"/>
          <w:numId w:val="2"/>
        </w:numPr>
        <w:spacing w:after="60" w:before="60"/>
      </w:pPr>
      <w:r>
        <w:rPr>
          <w:rFonts w:ascii="Arial" w:cs="Arial" w:eastAsia="Arial" w:hAnsi="Arial"/>
          <w:color w:val="4A5568"/>
          <w:sz w:val="22"/>
          <w:szCs w:val="22"/>
        </w:rPr>
        <w:t xml:space="preserve">Real-time private sector stock availability — what is in stock, where, at what price</w:t>
      </w:r>
    </w:p>
    <w:p>
      <w:pPr>
        <w:pStyle w:val="ListParagraph"/>
        <w:numPr>
          <w:ilvl w:val="0"/>
          <w:numId w:val="2"/>
        </w:numPr>
        <w:spacing w:after="60" w:before="60"/>
      </w:pPr>
      <w:r>
        <w:rPr>
          <w:rFonts w:ascii="Arial" w:cs="Arial" w:eastAsia="Arial" w:hAnsi="Arial"/>
          <w:color w:val="4A5568"/>
          <w:sz w:val="22"/>
          <w:szCs w:val="22"/>
        </w:rPr>
        <w:t xml:space="preserve">Community dispensing patterns — what is actually being dispensed versus what is prescribed</w:t>
      </w:r>
    </w:p>
    <w:p>
      <w:pPr>
        <w:pStyle w:val="ListParagraph"/>
        <w:numPr>
          <w:ilvl w:val="0"/>
          <w:numId w:val="2"/>
        </w:numPr>
        <w:spacing w:after="60" w:before="60"/>
      </w:pPr>
      <w:r>
        <w:rPr>
          <w:rFonts w:ascii="Arial" w:cs="Arial" w:eastAsia="Arial" w:hAnsi="Arial"/>
          <w:color w:val="4A5568"/>
          <w:sz w:val="22"/>
          <w:szCs w:val="22"/>
        </w:rPr>
        <w:t xml:space="preserve">AMR signals — antibiotic dispensing by class, facility type, and geography</w:t>
      </w:r>
    </w:p>
    <w:p>
      <w:pPr>
        <w:pStyle w:val="ListParagraph"/>
        <w:numPr>
          <w:ilvl w:val="0"/>
          <w:numId w:val="2"/>
        </w:numPr>
        <w:spacing w:after="60" w:before="60"/>
      </w:pPr>
      <w:r>
        <w:rPr>
          <w:rFonts w:ascii="Arial" w:cs="Arial" w:eastAsia="Arial" w:hAnsi="Arial"/>
          <w:color w:val="4A5568"/>
          <w:sz w:val="22"/>
          <w:szCs w:val="22"/>
        </w:rPr>
        <w:t xml:space="preserve">NCD medicine access — diabetes, hypertension, and other chronic disease medication availability and dispensing patterns</w:t>
      </w:r>
    </w:p>
    <w:p>
      <w:pPr>
        <w:pStyle w:val="ListParagraph"/>
        <w:numPr>
          <w:ilvl w:val="0"/>
          <w:numId w:val="2"/>
        </w:numPr>
        <w:spacing w:after="60" w:before="60"/>
      </w:pPr>
      <w:r>
        <w:rPr>
          <w:rFonts w:ascii="Arial" w:cs="Arial" w:eastAsia="Arial" w:hAnsi="Arial"/>
          <w:color w:val="4A5568"/>
          <w:sz w:val="22"/>
          <w:szCs w:val="22"/>
        </w:rPr>
        <w:t xml:space="preserve">Live pricing intelligence — market pricing across pharmacy types and geographies</w:t>
      </w:r>
    </w:p>
    <w:p>
      <w:pPr>
        <w:pStyle w:val="ListParagraph"/>
        <w:numPr>
          <w:ilvl w:val="0"/>
          <w:numId w:val="2"/>
        </w:numPr>
        <w:spacing w:after="60" w:before="60"/>
      </w:pPr>
      <w:r>
        <w:rPr>
          <w:rFonts w:ascii="Arial" w:cs="Arial" w:eastAsia="Arial" w:hAnsi="Arial"/>
          <w:color w:val="4A5568"/>
          <w:sz w:val="22"/>
          <w:szCs w:val="22"/>
        </w:rPr>
        <w:t xml:space="preserve">ADDO compliance monitoring — dispensing behaviour relative to ADDO drug list restrictions</w:t>
      </w:r>
    </w:p>
    <w:p>
      <w:pPr>
        <w:spacing w:after="80" w:before="80"/>
      </w:pPr>
      <w:r>
        <w:rPr>
          <w:rFonts w:ascii="Arial" w:cs="Arial" w:eastAsia="Arial" w:hAnsi="Arial"/>
          <w:color w:val="4A5568"/>
          <w:sz w:val="22"/>
          <w:szCs w:val="22"/>
        </w:rPr>
        <w:t xml:space="preserve">The 200+ pharmacy threshold is the activation threshold for meaningful data products. Below that, the dataset is informative but not statistically defensible for commercial licensing. Phase 2 should reach this threshold or approach it before Phase 3 data products are offered.</w:t>
      </w:r>
    </w:p>
    <w:p>
      <w:pPr>
        <w:pStyle w:val="Heading1"/>
        <w:pageBreakBefore/>
        <w:spacing w:after="160" w:before="480"/>
      </w:pPr>
      <w:r>
        <w:rPr>
          <w:rFonts w:ascii="Arial" w:cs="Arial" w:eastAsia="Arial" w:hAnsi="Arial"/>
          <w:b/>
          <w:bCs/>
          <w:color w:val="0A2540"/>
          <w:sz w:val="36"/>
          <w:szCs w:val="36"/>
        </w:rPr>
        <w:t xml:space="preserve">3. What NOT to Lead With</w:t>
      </w:r>
    </w:p>
    <w:p>
      <w:pPr>
        <w:spacing w:after="80" w:before="80"/>
      </w:pPr>
      <w:r>
        <w:rPr>
          <w:rFonts w:ascii="Arial" w:cs="Arial" w:eastAsia="Arial" w:hAnsi="Arial"/>
          <w:color w:val="4A5568"/>
          <w:sz w:val="22"/>
          <w:szCs w:val="22"/>
        </w:rPr>
        <w:t xml:space="preserve">These are the common errors in pharmacy SaaS sales and investor conversations in this market. Each one has cost credibility or sales momentum in comparable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 Not Lead With</w:t>
            </w:r>
          </w:p>
        </w:tc>
        <w:tc>
          <w:tcPr>
            <w:tcW w:type="dxa" w:w="61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Costs You</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NHIF integration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NHIF reimbursement rates fall below market purchase prices. Private pharmacies lose money per NHIF claim. Leading with NHIF positions APOTEKH as a financial liability, not a benefit. It has been removed from the product roadmap.</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UHI compliance urgency</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Tanzania's Universal Health Insurance mandate is not currently enforced in ways that create immediate digital adoption pressure for independent pharmacies. The urgency framing is inaccurate and will be called out by any informed owner.</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EFDMS/TRA/VFD compliance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Pharmacy owners are rationally cautious about TRA visibility into their revenue. Surfacing EFDMS too early signals naivety about how owners think about tax exposure. Never lead with this. Surface only after 60–90 days of established trust, framed as legal protection — not compliance obligation.</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CPD in owner sales conversations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CPD benefits the pharmacist or pharmaceutical technician, not necessarily the owner who pays the subscription. Lead with owner-facing value: remote dashboard, revenue intelligence, margin tracking, inventory control. CPD layers on after the tool is embedded.</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Regulatory enforcement fear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PC and TMDA enforcement is genuinely lax in the current environment. Compliance anxiety is a psychologically suppressed motivator — pharmacy owners have normalized avoidance. Fear-based selling produces weak and easily reversed commitments.</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'POS system' or 'inventory software'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Both descriptions commoditize APOTEKH against tools that cost TZS 5,000/month or nothing. Never use either term in sales or investor conversations. Position as pharmacy operating system, clinical safety platform, or compliance infrastructure.</w:t>
            </w:r>
          </w:p>
        </w:tc>
      </w:tr>
      <w:tr>
        <w:tc>
          <w:tcPr>
            <w:tcW w:type="dxa" w:w="320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b/>
                <w:bCs/>
                <w:color w:val="CC3333"/>
                <w:sz w:val="20"/>
                <w:szCs w:val="20"/>
              </w:rPr>
              <w:t xml:space="preserve">AWaRe as a free feature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Free AWaRe at the individual pharmacy level creates confusion in investor conversations: if your most clinically differentiating feature is free, what exactly are they paying for? Keep AWaRe in paid tiers. The aggregate AMR data shared with TMDA is the public health credential — separate and distinct.</w:t>
            </w:r>
          </w:p>
        </w:tc>
      </w:tr>
    </w:tbl>
    <w:p>
      <w:pPr>
        <w:spacing w:after="80" w:before="80"/>
      </w:pPr>
      <w:r>
        <w:rPr>
          <w:rFonts w:ascii="Arial" w:cs="Arial" w:eastAsia="Arial" w:hAnsi="Arial"/>
          <w:color w:val="4A5568"/>
          <w:sz w:val="22"/>
          <w:szCs w:val="22"/>
        </w:rPr>
        <w:t xml:space="preserve"/>
      </w:r>
    </w:p>
    <w:p>
      <w:pPr>
        <w:pStyle w:val="Heading2"/>
        <w:spacing w:after="120" w:before="320"/>
      </w:pPr>
      <w:r>
        <w:rPr>
          <w:rFonts w:ascii="Arial" w:cs="Arial" w:eastAsia="Arial" w:hAnsi="Arial"/>
          <w:b/>
          <w:bCs/>
          <w:color w:val="0A2540"/>
          <w:sz w:val="26"/>
          <w:szCs w:val="26"/>
        </w:rPr>
        <w:t xml:space="preserve">The owner sales conversation — correct sequence</w:t>
      </w:r>
    </w:p>
    <w:p>
      <w:pPr>
        <w:spacing w:after="80" w:before="80"/>
      </w:pPr>
      <w:r>
        <w:rPr>
          <w:rFonts w:ascii="Arial" w:cs="Arial" w:eastAsia="Arial" w:hAnsi="Arial"/>
          <w:color w:val="4A5568"/>
          <w:sz w:val="22"/>
          <w:szCs w:val="22"/>
        </w:rPr>
        <w:t xml:space="preserve">Lead in this order. Each element addresses a specific fear or aspiration:</w:t>
      </w:r>
    </w:p>
    <w:p>
      <w:pPr>
        <w:pStyle w:val="ListParagraph"/>
        <w:numPr>
          <w:ilvl w:val="0"/>
          <w:numId w:val="2"/>
        </w:numPr>
        <w:spacing w:after="60" w:before="60"/>
      </w:pPr>
      <w:r>
        <w:rPr>
          <w:rFonts w:ascii="Arial" w:cs="Arial" w:eastAsia="Arial" w:hAnsi="Arial"/>
          <w:color w:val="4A5568"/>
          <w:sz w:val="22"/>
          <w:szCs w:val="22"/>
        </w:rPr>
        <w:t xml:space="preserve">Remote dashboard: 'You can see everything happening in your pharmacy from your phone, right now, wherever you are.' This is the wound — every owner who is not physically present lives with this fear.</w:t>
      </w:r>
    </w:p>
    <w:p>
      <w:pPr>
        <w:pStyle w:val="ListParagraph"/>
        <w:numPr>
          <w:ilvl w:val="0"/>
          <w:numId w:val="2"/>
        </w:numPr>
        <w:spacing w:after="60" w:before="60"/>
      </w:pPr>
      <w:r>
        <w:rPr>
          <w:rFonts w:ascii="Arial" w:cs="Arial" w:eastAsia="Arial" w:hAnsi="Arial"/>
          <w:color w:val="4A5568"/>
          <w:sz w:val="22"/>
          <w:szCs w:val="22"/>
        </w:rPr>
        <w:t xml:space="preserve">Offline capability: 'Works without internet.' Tanzania has load shedding and patchy connectivity. This is the answer to a fear they have every day.</w:t>
      </w:r>
    </w:p>
    <w:p>
      <w:pPr>
        <w:pStyle w:val="ListParagraph"/>
        <w:numPr>
          <w:ilvl w:val="0"/>
          <w:numId w:val="2"/>
        </w:numPr>
        <w:spacing w:after="60" w:before="60"/>
      </w:pPr>
      <w:r>
        <w:rPr>
          <w:rFonts w:ascii="Arial" w:cs="Arial" w:eastAsia="Arial" w:hAnsi="Arial"/>
          <w:color w:val="4A5568"/>
          <w:sz w:val="22"/>
          <w:szCs w:val="22"/>
        </w:rPr>
        <w:t xml:space="preserve">Barcode scanning: signals operational seriousness — speed and accuracy at the dispensing counter.</w:t>
      </w:r>
    </w:p>
    <w:p>
      <w:pPr>
        <w:pStyle w:val="ListParagraph"/>
        <w:numPr>
          <w:ilvl w:val="0"/>
          <w:numId w:val="2"/>
        </w:numPr>
        <w:spacing w:after="60" w:before="60"/>
      </w:pPr>
      <w:r>
        <w:rPr>
          <w:rFonts w:ascii="Arial" w:cs="Arial" w:eastAsia="Arial" w:hAnsi="Arial"/>
          <w:color w:val="4A5568"/>
          <w:sz w:val="22"/>
          <w:szCs w:val="22"/>
        </w:rPr>
        <w:t xml:space="preserve">B2B and credit: ordering from suppliers directly through the system. Makes the owner feel the platform is taking them somewhere, not just managing where they are.</w:t>
      </w:r>
    </w:p>
    <w:p>
      <w:pPr>
        <w:pStyle w:val="ListParagraph"/>
        <w:numPr>
          <w:ilvl w:val="0"/>
          <w:numId w:val="2"/>
        </w:numPr>
        <w:spacing w:after="60" w:before="60"/>
      </w:pPr>
      <w:r>
        <w:rPr>
          <w:rFonts w:ascii="Arial" w:cs="Arial" w:eastAsia="Arial" w:hAnsi="Arial"/>
          <w:color w:val="4A5568"/>
          <w:sz w:val="22"/>
          <w:szCs w:val="22"/>
        </w:rPr>
        <w:t xml:space="preserve">Patient safety: for a Superintendent Pharmacist whose licence is on the line. For an ADDO operator, protection against errors that could close the outlet.</w:t>
      </w:r>
    </w:p>
    <w:p>
      <w:pPr>
        <w:pStyle w:val="ListParagraph"/>
        <w:numPr>
          <w:ilvl w:val="0"/>
          <w:numId w:val="2"/>
        </w:numPr>
        <w:spacing w:after="60" w:before="60"/>
      </w:pPr>
      <w:r>
        <w:rPr>
          <w:rFonts w:ascii="Arial" w:cs="Arial" w:eastAsia="Arial" w:hAnsi="Arial"/>
          <w:color w:val="4A5568"/>
          <w:sz w:val="22"/>
          <w:szCs w:val="22"/>
        </w:rPr>
        <w:t xml:space="preserve">Freemium safety net: 'Your pharmacy never stops running. Even if you're not on a paid plan, you keep dispensing records, inventory, and your single operator account — permanently, at no cost.'</w:t>
      </w:r>
    </w:p>
    <w:p>
      <w:pPr>
        <w:pStyle w:val="Heading1"/>
        <w:pageBreakBefore/>
        <w:spacing w:after="160" w:before="480"/>
      </w:pPr>
      <w:r>
        <w:rPr>
          <w:rFonts w:ascii="Arial" w:cs="Arial" w:eastAsia="Arial" w:hAnsi="Arial"/>
          <w:b/>
          <w:bCs/>
          <w:color w:val="0A2540"/>
          <w:sz w:val="36"/>
          <w:szCs w:val="36"/>
        </w:rPr>
        <w:t xml:space="preserve">4. Funder Strategy</w:t>
      </w:r>
    </w:p>
    <w:p>
      <w:pPr>
        <w:spacing w:after="80" w:before="80"/>
      </w:pPr>
      <w:r>
        <w:rPr>
          <w:rFonts w:ascii="Arial" w:cs="Arial" w:eastAsia="Arial" w:hAnsi="Arial"/>
          <w:color w:val="4A5568"/>
          <w:sz w:val="22"/>
          <w:szCs w:val="22"/>
        </w:rPr>
        <w:t xml:space="preserve">APOTEKH operates two parallel funding channels: commercial investors (VC and development finance) and grant funders (global health and AMR-focused institutions). The two channels do not conflict if positioned correctly. They speak to different things simultaneously — and both are true.</w:t>
      </w:r>
    </w:p>
    <w:p>
      <w:pPr>
        <w:pBdr>
          <w:left w:val="single" w:color="00A878" w:sz="12" w:space="8"/>
        </w:pBdr>
        <w:shd w:fill="F0FFF8" w:val="clear"/>
        <w:spacing w:after="120" w:before="120"/>
        <w:ind w:left="360" w:right="360"/>
      </w:pPr>
      <w:r>
        <w:rPr>
          <w:rFonts w:ascii="Arial" w:cs="Arial" w:eastAsia="Arial" w:hAnsi="Arial"/>
          <w:i/>
          <w:iCs/>
          <w:color w:val="0A2540"/>
          <w:sz w:val="22"/>
          <w:szCs w:val="22"/>
        </w:rPr>
        <w:t xml:space="preserve">To a commercial investor: clean SaaS, subscription revenue, clinical safety as a paid feature, no confusion about whether this is a business or an NGO. To a grant funder: APOTEKH is the infrastructure that makes national AMR surveillance possible in Tanzania for the first time, sharing aggregate anonymised dispensing data with TMDA at no cost. Both statements are simultaneously true.</w:t>
      </w:r>
    </w:p>
    <w:p>
      <w:pPr>
        <w:pStyle w:val="Heading2"/>
        <w:spacing w:after="120" w:before="320"/>
      </w:pPr>
      <w:r>
        <w:rPr>
          <w:rFonts w:ascii="Arial" w:cs="Arial" w:eastAsia="Arial" w:hAnsi="Arial"/>
          <w:b/>
          <w:bCs/>
          <w:color w:val="0A2540"/>
          <w:sz w:val="26"/>
          <w:szCs w:val="26"/>
        </w:rPr>
        <w:t xml:space="preserve">Commercial investors — sequenced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Funder / Programme</w:t>
            </w:r>
          </w:p>
        </w:tc>
        <w:tc>
          <w:tcPr>
            <w:tcW w:type="dxa" w:w="1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Timing</w:t>
            </w:r>
          </w:p>
        </w:tc>
        <w:tc>
          <w:tcPr>
            <w:tcW w:type="dxa" w:w="1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Potential</w:t>
            </w:r>
          </w:p>
        </w:tc>
        <w:tc>
          <w:tcPr>
            <w:tcW w:type="dxa" w:w="39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Mbwana Alliy (Savannah Fund)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After 10 paying pharmacies / 60-day retention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Seed lead</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Proof of habit formation. 70%+ monthly retention. Approach founder-to-founder.</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COSTECH Credit Guarantee Scheme</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Now</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Working capital</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Application ready. Pursue immediately alongside pilot.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Tony Elumelu Foundation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Now (annual cycle)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Up to $5,000</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Application-based. Good signal for early-stage African founder credibility.</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Villgro Africa / HealthTech Hub Africa</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After 3 months pilot data</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Seed grant</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Pilot data demonstrating user retention and clinical safety engagement.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FUNGUO Innovation Programme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After 3 months pilot data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Grant</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Tanzania-focused innovation grant. Pilot data required.</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i3 Cohort 4 (Gates/MSD/Sanofi/Cencora)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Up to $225,000</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Differentiate from Dawa Mkononi: clinical safety + education vs supply chain. Phase 2 traction required.</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Flat6Labs Africa Seed Fund</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Seed</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 traction required. Pan-African accelerator with East Africa presence.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Google for Startups Africa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Accelerator</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Network scale, regional presence.</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HealthCap Africa / Transform Health Fund / Novastar</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 (Series A)</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Series A</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200+ pharmacies, East Africa presence, data product live.</w:t>
            </w:r>
          </w:p>
        </w:tc>
      </w:tr>
    </w:tbl>
    <w:p>
      <w:pPr>
        <w:spacing w:after="80" w:before="80"/>
      </w:pPr>
      <w:r>
        <w:rPr>
          <w:rFonts w:ascii="Arial" w:cs="Arial" w:eastAsia="Arial" w:hAnsi="Arial"/>
          <w:color w:val="4A5568"/>
          <w:sz w:val="22"/>
          <w:szCs w:val="22"/>
        </w:rPr>
        <w:t xml:space="preserve"/>
      </w:r>
    </w:p>
    <w:p>
      <w:pPr>
        <w:pStyle w:val="Heading2"/>
        <w:spacing w:after="120" w:before="320"/>
      </w:pPr>
      <w:r>
        <w:rPr>
          <w:rFonts w:ascii="Arial" w:cs="Arial" w:eastAsia="Arial" w:hAnsi="Arial"/>
          <w:b/>
          <w:bCs/>
          <w:color w:val="0A2540"/>
          <w:sz w:val="26"/>
          <w:szCs w:val="26"/>
        </w:rPr>
        <w:t xml:space="preserve">Grant funders — the AMR and public health channel</w:t>
      </w:r>
    </w:p>
    <w:p>
      <w:pPr>
        <w:spacing w:after="80" w:before="80"/>
      </w:pPr>
      <w:r>
        <w:rPr>
          <w:rFonts w:ascii="Arial" w:cs="Arial" w:eastAsia="Arial" w:hAnsi="Arial"/>
          <w:color w:val="4A5568"/>
          <w:sz w:val="22"/>
          <w:szCs w:val="22"/>
        </w:rPr>
        <w:t xml:space="preserve">The grant channel runs parallel to the commercial model. It is funded by the public health dividend of aggregate AMR data sharing — not by giving clinical safety features away free to individual pharmacies.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Funder</w:t>
            </w:r>
          </w:p>
        </w:tc>
        <w:tc>
          <w:tcPr>
            <w:tcW w:type="dxa" w:w="1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4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Timing</w:t>
            </w:r>
          </w:p>
        </w:tc>
        <w:tc>
          <w:tcPr>
            <w:tcW w:type="dxa" w:w="39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APOTEKH Angle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Fleming Fund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2–3</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AMR surveillance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APOTEKH as Tanzania's first real-time private sector AMR dispensing surveillance layer, shared with TMDA at no cost.</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Wellcome Trust (AMR Action Fund adjacent)</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2–3</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AMR stewardship</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AWaRe classification infrastructure at point of dispensing. Data product for stewardship monitoring.</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WHO / PAHO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Essential medicines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Dispensing intelligence on essential medicine access, NCD patterns, and community dispensing vs prescribing gaps.</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D-Prize (Paul Youn connection)</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Distribution challenge</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APOTEKH as a distribution mechanism for clinical safety and essential medicine intelligence.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MUHAS Research MOU</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2</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Academic partnership</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Research access to anonymised dispensing data in exchange for validation, credibility, and academic publication.</w:t>
            </w:r>
          </w:p>
        </w:tc>
      </w:tr>
      <w:tr>
        <w:tc>
          <w:tcPr>
            <w:tcW w:type="dxa" w:w="26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0A2540"/>
                <w:sz w:val="20"/>
                <w:szCs w:val="20"/>
              </w:rPr>
              <w:t xml:space="preserve">Gates Foundation (global health)</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Phase 3</w:t>
            </w:r>
          </w:p>
        </w:tc>
        <w:tc>
          <w:tcPr>
            <w:tcW w:type="dxa" w:w="14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Public health infrastructure</w:t>
            </w:r>
          </w:p>
        </w:tc>
        <w:tc>
          <w:tcPr>
            <w:tcW w:type="dxa" w:w="39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National AMR surveillance data product + NCD medicine access monitoring.</w:t>
            </w:r>
          </w:p>
        </w:tc>
      </w:tr>
    </w:tbl>
    <w:p>
      <w:pPr>
        <w:spacing w:after="80" w:before="80"/>
      </w:pPr>
      <w:r>
        <w:rPr>
          <w:rFonts w:ascii="Arial" w:cs="Arial" w:eastAsia="Arial" w:hAnsi="Arial"/>
          <w:color w:val="4A5568"/>
          <w:sz w:val="22"/>
          <w:szCs w:val="22"/>
        </w:rPr>
        <w:t xml:space="preserve"/>
      </w:r>
    </w:p>
    <w:p>
      <w:pPr>
        <w:pBdr>
          <w:left w:val="single" w:color="00A878" w:sz="12" w:space="8"/>
        </w:pBdr>
        <w:shd w:fill="F0FFF8" w:val="clear"/>
        <w:spacing w:after="120" w:before="120"/>
        <w:ind w:left="360" w:right="360"/>
      </w:pPr>
      <w:r>
        <w:rPr>
          <w:rFonts w:ascii="Arial" w:cs="Arial" w:eastAsia="Arial" w:hAnsi="Arial"/>
          <w:i/>
          <w:iCs/>
          <w:color w:val="0A2540"/>
          <w:sz w:val="22"/>
          <w:szCs w:val="22"/>
        </w:rPr>
        <w:t xml:space="preserve">The grant narrative and the investor narrative never collide when positioned correctly. Individual clinical safety: paid tier. Aggregate AMR intelligence: shared with TMDA. This is the line. Never cross it.</w:t>
      </w:r>
    </w:p>
    <w:p>
      <w:pPr>
        <w:pStyle w:val="Heading2"/>
        <w:spacing w:after="120" w:before="320"/>
      </w:pPr>
      <w:r>
        <w:rPr>
          <w:rFonts w:ascii="Arial" w:cs="Arial" w:eastAsia="Arial" w:hAnsi="Arial"/>
          <w:b/>
          <w:bCs/>
          <w:color w:val="0A2540"/>
          <w:sz w:val="26"/>
          <w:szCs w:val="26"/>
        </w:rPr>
        <w:t xml:space="preserve">The Afya Rekod benchmark</w:t>
      </w:r>
    </w:p>
    <w:p>
      <w:pPr>
        <w:spacing w:after="80" w:before="80"/>
      </w:pPr>
      <w:r>
        <w:rPr>
          <w:rFonts w:ascii="Arial" w:cs="Arial" w:eastAsia="Arial" w:hAnsi="Arial"/>
          <w:color w:val="4A5568"/>
          <w:sz w:val="22"/>
          <w:szCs w:val="22"/>
        </w:rPr>
        <w:t xml:space="preserve">The closest East Africa seed comparable is Afya Rekod (Kenya), which raised $2M in February 2022 from MaC Venture Capital. They raised on 150,000 users across 5 countries and 40+ hospitals onboarded — massive adoption proof from a free patient-facing product.</w:t>
      </w:r>
    </w:p>
    <w:p>
      <w:pPr>
        <w:spacing w:after="80" w:before="80"/>
      </w:pPr>
      <w:r>
        <w:rPr>
          <w:rFonts w:ascii="Arial" w:cs="Arial" w:eastAsia="Arial" w:hAnsi="Arial"/>
          <w:color w:val="4A5568"/>
          <w:sz w:val="22"/>
          <w:szCs w:val="22"/>
        </w:rPr>
        <w:t xml:space="preserve">APOTEKH's product is architecturally more complex and more defensible (five integrated layers vs one patient portal). But investors fund evidence of adoption, not complexity. The evidence required: 10 real pharmacies using APOTEKH daily, paying, retained. 'They use it' is the sentence that transforms the investor conversation.</w:t>
      </w:r>
    </w:p>
    <w:p>
      <w:pPr>
        <w:spacing w:after="80" w:before="80"/>
      </w:pPr>
      <w:r>
        <w:rPr>
          <w:rFonts w:ascii="Arial" w:cs="Arial" w:eastAsia="Arial" w:hAnsi="Arial"/>
          <w:color w:val="4A5568"/>
          <w:sz w:val="22"/>
          <w:szCs w:val="22"/>
        </w:rPr>
        <w:t xml:space="preserve">Note: Afya Rekod raised at the peak of African tech funding in 2022 ($4.4B for Africa). The current funding environment (approximately $2.2B/year) means the evidence bar is higher. APOTEKH enters this market with a harder business model (B2B SaaS, not free consumer) but also with structural regulatory advantages that free products cannot achieve.</w:t>
      </w:r>
    </w:p>
    <w:p>
      <w:pPr>
        <w:pStyle w:val="Heading1"/>
        <w:pageBreakBefore/>
        <w:spacing w:after="160" w:before="480"/>
      </w:pPr>
      <w:r>
        <w:rPr>
          <w:rFonts w:ascii="Arial" w:cs="Arial" w:eastAsia="Arial" w:hAnsi="Arial"/>
          <w:b/>
          <w:bCs/>
          <w:color w:val="0A2540"/>
          <w:sz w:val="36"/>
          <w:szCs w:val="36"/>
        </w:rPr>
        <w:t xml:space="preserve">5. Financial Projections</w:t>
      </w:r>
    </w:p>
    <w:p>
      <w:pPr>
        <w:spacing w:after="80" w:before="80"/>
      </w:pPr>
      <w:r>
        <w:rPr>
          <w:rFonts w:ascii="Arial" w:cs="Arial" w:eastAsia="Arial" w:hAnsi="Arial"/>
          <w:color w:val="4A5568"/>
          <w:sz w:val="22"/>
          <w:szCs w:val="22"/>
        </w:rPr>
        <w:t xml:space="preserve">Projections are based on penetrating the Tanzania market at realistic adoption rates. The 70% monthly retention threshold must be proven before these projections are used in investor conversations — retention is the proof of concept, not outlet count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2760"/>
      </w:tblGrid>
      <w:tr>
        <w:trPr>
          <w:tblHeader/>
        </w:trPr>
        <w:tc>
          <w:tcPr>
            <w:tcW w:type="dxa" w:w="12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Period</w:t>
            </w:r>
          </w:p>
        </w:tc>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Paying Outlets</w:t>
            </w:r>
          </w:p>
        </w:tc>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Avg MRR/Outlet (TZS)</w:t>
            </w:r>
          </w:p>
        </w:tc>
        <w:tc>
          <w:tcPr>
            <w:tcW w:type="dxa" w:w="18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MRR (TZS)</w:t>
            </w:r>
          </w:p>
        </w:tc>
        <w:tc>
          <w:tcPr>
            <w:tcW w:type="dxa" w:w="27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Milestone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4A5568"/>
                <w:sz w:val="20"/>
                <w:szCs w:val="20"/>
              </w:rPr>
              <w:t xml:space="preserve">Month 2</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550,000</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Operating costs covered. Mbwana Alliy conversation unlocked.</w:t>
            </w:r>
          </w:p>
        </w:tc>
      </w:tr>
      <w:tr>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4A5568"/>
                <w:sz w:val="20"/>
                <w:szCs w:val="20"/>
              </w:rPr>
              <w:t xml:space="preserve">Month 6</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50</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55,000</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2,750,000</w:t>
            </w:r>
          </w:p>
        </w:tc>
        <w:tc>
          <w:tcPr>
            <w:tcW w:type="dxa" w:w="27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Developer engagement funded. Pilot data for grant applications.</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4A5568"/>
                <w:sz w:val="20"/>
                <w:szCs w:val="20"/>
              </w:rPr>
              <w:t xml:space="preserve">Month 12</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150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58,000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8,700,000</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Board recruitment credible. PST partnership conversation active.</w:t>
            </w:r>
          </w:p>
        </w:tc>
      </w:tr>
      <w:tr>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4A5568"/>
                <w:sz w:val="20"/>
                <w:szCs w:val="20"/>
              </w:rPr>
              <w:t xml:space="preserve">Month 18</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400</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60,000</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24,000,000</w:t>
            </w:r>
          </w:p>
        </w:tc>
        <w:tc>
          <w:tcPr>
            <w:tcW w:type="dxa" w:w="27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Seed round close. Phase 2 features begin.</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4A5568"/>
                <w:sz w:val="20"/>
                <w:szCs w:val="20"/>
              </w:rPr>
              <w:t xml:space="preserve">Month 24</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800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63,000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50,400,000</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Kenya entry. i3 Cohort 4 application.</w:t>
            </w:r>
          </w:p>
        </w:tc>
      </w:tr>
      <w:tr>
        <w:tc>
          <w:tcPr>
            <w:tcW w:type="dxa" w:w="12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bCs/>
                <w:color w:val="4A5568"/>
                <w:sz w:val="20"/>
                <w:szCs w:val="20"/>
              </w:rPr>
              <w:t xml:space="preserve">Month 36</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2,000</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65,000</w:t>
            </w:r>
          </w:p>
        </w:tc>
        <w:tc>
          <w:tcPr>
            <w:tcW w:type="dxa" w:w="180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130,000,000</w:t>
            </w:r>
          </w:p>
        </w:tc>
        <w:tc>
          <w:tcPr>
            <w:tcW w:type="dxa" w:w="2760"/>
            <w:tcBorders>
              <w:top w:val="single" w:color="DDDDDD" w:sz="4"/>
              <w:left w:val="single" w:color="DDDDDD" w:sz="4"/>
              <w:bottom w:val="single" w:color="DDDDDD" w:sz="4"/>
              <w:right w:val="single" w:color="DDDDDD" w:sz="4"/>
            </w:tcBorders>
            <w:shd w:fill="F0F7F4"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Data licensing launch. Series A ready.</w:t>
            </w:r>
          </w:p>
        </w:tc>
      </w:tr>
    </w:tbl>
    <w:p>
      <w:pPr>
        <w:spacing w:after="80" w:before="80"/>
      </w:pPr>
      <w:r>
        <w:rPr>
          <w:rFonts w:ascii="Arial" w:cs="Arial" w:eastAsia="Arial" w:hAnsi="Arial"/>
          <w:color w:val="4A5568"/>
          <w:sz w:val="22"/>
          <w:szCs w:val="22"/>
        </w:rPr>
        <w:t xml:space="preserve"/>
      </w:r>
    </w:p>
    <w:p>
      <w:pPr>
        <w:spacing w:after="80" w:before="80"/>
      </w:pPr>
      <w:r>
        <w:rPr>
          <w:rFonts w:ascii="Arial" w:cs="Arial" w:eastAsia="Arial" w:hAnsi="Arial"/>
          <w:color w:val="4A5568"/>
          <w:sz w:val="22"/>
          <w:szCs w:val="22"/>
        </w:rPr>
        <w:t xml:space="preserve">Unit economics: Gross margin is approximately 78% (SaaS + data, minimal COGS). LTV:CAC target ratio of 24:1 at Standard tier (3-year average LTV of TZS 3,600,000+ vs target CAC of TZS 150,000). Payback period approximately 3 months at Standard tier.</w:t>
      </w:r>
    </w:p>
    <w:p>
      <w:pPr>
        <w:spacing w:after="80" w:before="80"/>
      </w:pPr>
      <w:r>
        <w:rPr>
          <w:rFonts w:ascii="Arial" w:cs="Arial" w:eastAsia="Arial" w:hAnsi="Arial"/>
          <w:color w:val="4A5568"/>
          <w:sz w:val="22"/>
          <w:szCs w:val="22"/>
        </w:rPr>
        <w:t xml:space="preserve">Exchange rate assumption: TZS 2,500 = USD 1. Adjust to current rate for USD-denominated investor materials.</w:t>
      </w:r>
    </w:p>
    <w:p>
      <w:r>
        <w:br w:type="page"/>
      </w:r>
    </w:p>
    <w:p>
      <w:pPr>
        <w:spacing w:after="0" w:before="1440"/>
      </w:pPr>
      <w:r>
        <w:t xml:space="preserve"/>
      </w:r>
    </w:p>
    <w:p>
      <w:pPr>
        <w:spacing w:after="240" w:before="0"/>
        <w:jc w:val="center"/>
      </w:pPr>
      <w:r>
        <w:rPr>
          <w:rFonts w:ascii="Arial" w:cs="Arial" w:eastAsia="Arial" w:hAnsi="Arial"/>
          <w:b/>
          <w:bCs/>
          <w:color w:val="0A2540"/>
          <w:sz w:val="24"/>
          <w:szCs w:val="24"/>
        </w:rPr>
        <w:t xml:space="preserve">The architecture in one sentence:</w:t>
      </w:r>
    </w:p>
    <w:p>
      <w:pPr>
        <w:pBdr>
          <w:left w:val="single" w:color="00A878" w:sz="12" w:space="8"/>
        </w:pBdr>
        <w:shd w:fill="F0FFF8" w:val="clear"/>
        <w:spacing w:after="120" w:before="120"/>
        <w:ind w:left="360" w:right="360"/>
      </w:pPr>
      <w:r>
        <w:rPr>
          <w:rFonts w:ascii="Arial" w:cs="Arial" w:eastAsia="Arial" w:hAnsi="Arial"/>
          <w:i/>
          <w:iCs/>
          <w:color w:val="0A2540"/>
          <w:sz w:val="22"/>
          <w:szCs w:val="22"/>
        </w:rPr>
        <w:t xml:space="preserve">Low-cost pharmacy subscription builds the network. The network generates compliance data, CPD sponsorship revenue, wholesale commissions, and dispensing intelligence — none of which requires charging the pharmacy owner more.</w:t>
      </w:r>
    </w:p>
    <w:p>
      <w:pPr>
        <w:spacing w:after="0" w:before="240"/>
      </w:pPr>
      <w:r>
        <w:t xml:space="preserve"/>
      </w:r>
    </w:p>
    <w:p>
      <w:pPr>
        <w:spacing w:after="80" w:before="240"/>
        <w:jc w:val="center"/>
      </w:pPr>
      <w:r>
        <w:rPr>
          <w:rFonts w:ascii="Arial" w:cs="Arial" w:eastAsia="Arial" w:hAnsi="Arial"/>
          <w:i/>
          <w:iCs/>
          <w:color w:val="00A878"/>
          <w:sz w:val="22"/>
          <w:szCs w:val="22"/>
        </w:rPr>
        <w:t xml:space="preserve">APOTEKH — The Operating System for African Pharmacy</w:t>
      </w:r>
    </w:p>
    <w:p>
      <w:pPr>
        <w:spacing w:after="0" w:before="0"/>
        <w:jc w:val="center"/>
      </w:pPr>
      <w:r>
        <w:rPr>
          <w:rFonts w:ascii="Arial" w:cs="Arial" w:eastAsia="Arial" w:hAnsi="Arial"/>
          <w:color w:val="94A3B8"/>
          <w:sz w:val="20"/>
          <w:szCs w:val="20"/>
        </w:rPr>
        <w:t xml:space="preserve">Confidential | May 2026 | Arusha, Tanzania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tabs>
        <w:tab w:val="right" w:pos="9360"/>
      </w:tabs>
      <w:spacing w:after="0" w:before="120"/>
    </w:pPr>
    <w:r>
      <w:rPr>
        <w:rFonts w:ascii="Arial" w:cs="Arial" w:eastAsia="Arial" w:hAnsi="Arial"/>
        <w:color w:val="94A3B8"/>
        <w:sz w:val="18"/>
        <w:szCs w:val="18"/>
      </w:rPr>
      <w:t xml:space="preserve">APOTEKH | apotekh.com | Confidential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tabs>
        <w:tab w:val="right" w:pos="9360"/>
      </w:tabs>
      <w:spacing w:after="120" w:before="0"/>
    </w:pPr>
    <w:r>
      <w:rPr>
        <w:rFonts w:ascii="Arial" w:cs="Arial" w:eastAsia="Arial" w:hAnsi="Arial"/>
        <w:b/>
        <w:bCs/>
        <w:color w:val="00A878"/>
        <w:sz w:val="18"/>
        <w:szCs w:val="18"/>
      </w:rPr>
      <w:t xml:space="preserve">APOTEKH </w:t>
    </w:r>
    <w:r>
      <w:rPr>
        <w:rFonts w:ascii="Arial" w:cs="Arial" w:eastAsia="Arial" w:hAnsi="Arial"/>
        <w:color w:val="94A3B8"/>
        <w:sz w:val="18"/>
        <w:szCs w:val="18"/>
      </w:rPr>
      <w:t xml:space="preserve">Revenue &amp; Funder Strategy — Confidential</w:t>
    </w:r>
    <w:r>
      <w:rPr>
        <w:rFonts w:ascii="Arial" w:cs="Arial" w:eastAsia="Arial" w:hAnsi="Arial"/>
        <w:sz w:val="18"/>
        <w:szCs w:val="18"/>
      </w:rPr>
      <w:t xml:space="preserve">	</w:t>
    </w:r>
    <w:r>
      <w:rPr>
        <w:rFonts w:ascii="Arial" w:cs="Arial" w:eastAsia="Arial" w:hAnsi="Arial"/>
        <w:color w:val="94A3B8"/>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254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0A8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2026-05-18T20:46:27.968Z</dcterms:created>
  <dcterms:modified xsi:type="dcterms:W3CDTF">2026-05-18T20:46:27.968Z</dcterms:modified>
</cp:coreProperties>
</file>

<file path=docProps/custom.xml><?xml version="1.0" encoding="utf-8"?>
<Properties xmlns="http://schemas.openxmlformats.org/officeDocument/2006/custom-properties" xmlns:vt="http://schemas.openxmlformats.org/officeDocument/2006/docPropsVTypes"/>
</file>