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0A2540"/>
          <w:sz w:val="72"/>
          <w:szCs w:val="72"/>
        </w:rPr>
        <w:t xml:space="preserve">APOTEKH</w:t>
      </w:r>
    </w:p>
    <w:p>
      <w:pPr>
        <w:spacing w:after="160" w:before="0"/>
        <w:jc w:val="center"/>
      </w:pPr>
      <w:r>
        <w:rPr>
          <w:rFonts w:ascii="Arial" w:cs="Arial" w:eastAsia="Arial" w:hAnsi="Arial"/>
          <w:color w:val="4A5568"/>
          <w:sz w:val="32"/>
          <w:szCs w:val="32"/>
        </w:rPr>
        <w:t xml:space="preserve">Platform Strategy 2026–2029</w:t>
      </w:r>
    </w:p>
    <w:p>
      <w:pPr>
        <w:spacing w:after="800" w:before="0"/>
        <w:jc w:val="center"/>
      </w:pPr>
      <w:r>
        <w:rPr>
          <w:rFonts w:ascii="Arial" w:cs="Arial" w:eastAsia="Arial" w:hAnsi="Arial"/>
          <w:i/>
          <w:iCs/>
          <w:color w:val="00A878"/>
          <w:sz w:val="28"/>
          <w:szCs w:val="28"/>
        </w:rPr>
        <w:t xml:space="preserve">The Operating System for African Pharmacy</w:t>
      </w:r>
    </w:p>
    <w:p>
      <w:pPr>
        <w:spacing w:after="80" w:before="0"/>
        <w:jc w:val="center"/>
      </w:pPr>
      <w:r>
        <w:rPr>
          <w:rFonts w:ascii="Arial" w:cs="Arial" w:eastAsia="Arial" w:hAnsi="Arial"/>
          <w:color w:val="4A5568"/>
          <w:sz w:val="22"/>
          <w:szCs w:val="22"/>
        </w:rPr>
        <w:t xml:space="preserve">Elihaki M. Y. Javan | Founder &amp; CEO</w:t>
      </w:r>
    </w:p>
    <w:p>
      <w:pPr>
        <w:spacing w:after="80" w:before="0"/>
        <w:jc w:val="center"/>
      </w:pPr>
      <w:r>
        <w:rPr>
          <w:rFonts w:ascii="Arial" w:cs="Arial" w:eastAsia="Arial" w:hAnsi="Arial"/>
          <w:color w:val="94A3B8"/>
          <w:sz w:val="22"/>
          <w:szCs w:val="22"/>
        </w:rPr>
        <w:t xml:space="preserve">Arusha, Tanzania | May 2026</w:t>
      </w:r>
    </w:p>
    <w:p>
      <w:pPr>
        <w:spacing w:after="0" w:before="80"/>
        <w:jc w:val="center"/>
      </w:pPr>
      <w:r>
        <w:rPr>
          <w:rFonts w:ascii="Arial" w:cs="Arial" w:eastAsia="Arial" w:hAnsi="Arial"/>
          <w:b/>
          <w:bCs/>
          <w:color w:val="F7B731"/>
          <w:sz w:val="20"/>
          <w:szCs w:val="20"/>
        </w:rPr>
        <w:t xml:space="preserve">Confidential</w:t>
      </w:r>
    </w:p>
    <w:p>
      <w:r>
        <w:br w:type="page"/>
      </w:r>
    </w:p>
    <w:p>
      <w:pPr>
        <w:pStyle w:val="Heading1"/>
        <w:pageBreakBefore/>
        <w:spacing w:after="160" w:before="480"/>
      </w:pPr>
      <w:r>
        <w:rPr>
          <w:rFonts w:ascii="Arial" w:cs="Arial" w:eastAsia="Arial" w:hAnsi="Arial"/>
          <w:b/>
          <w:bCs/>
          <w:color w:val="0A2540"/>
          <w:sz w:val="36"/>
          <w:szCs w:val="36"/>
        </w:rPr>
        <w:t xml:space="preserve">1. What APOTEKH Is</w:t>
      </w:r>
    </w:p>
    <w:p>
      <w:pPr>
        <w:spacing w:after="80" w:before="80"/>
      </w:pPr>
      <w:r>
        <w:rPr>
          <w:rFonts w:ascii="Arial" w:cs="Arial" w:eastAsia="Arial" w:hAnsi="Arial"/>
          <w:color w:val="4A5568"/>
          <w:sz w:val="22"/>
          <w:szCs w:val="22"/>
        </w:rPr>
        <w:t xml:space="preserve">APOTEKH is the pharmacy operating system built for Africa. Not a POS tool. Not inventory software. Not a compliance checklist. The complete operating layer that runs a pharmacy — dispensing, clinical safety, inventory intelligence, compliance infrastructure, wholesale network, and financial management — offline-first, built to Tanzania’s specific regulatory environment.</w:t>
      </w:r>
    </w:p>
    <w:p>
      <w:pPr>
        <w:spacing w:after="80" w:before="80"/>
      </w:pPr>
      <w:r>
        <w:rPr>
          <w:rFonts w:ascii="Arial" w:cs="Arial" w:eastAsia="Arial" w:hAnsi="Arial"/>
          <w:color w:val="4A5568"/>
          <w:sz w:val="22"/>
          <w:szCs w:val="22"/>
        </w:rPr>
        <w:t xml:space="preserve">The company was founded by a Pharmaceutical Technologist and public health supply chain specialist with direct field experience across TMDA, NHIF, Pharmacy Council, and Tanzania’s national health programmes. APOTEKH is built by someone who understands the problem from inside the system.</w:t>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Infrastructure-level positioning: A tool is optional. APOTEKH is the substrate on which a pharmacy operates. Removing it does not inconvenience the operation — it disables it.</w:t>
      </w:r>
    </w:p>
    <w:p>
      <w:pPr>
        <w:pStyle w:val="Heading2"/>
        <w:spacing w:after="120" w:before="320"/>
      </w:pPr>
      <w:r>
        <w:rPr>
          <w:rFonts w:ascii="Arial" w:cs="Arial" w:eastAsia="Arial" w:hAnsi="Arial"/>
          <w:b/>
          <w:bCs/>
          <w:color w:val="0A2540"/>
          <w:sz w:val="26"/>
          <w:szCs w:val="26"/>
        </w:rPr>
        <w:t xml:space="preserve">Five integrated layers, one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none" w:color="FFFFFF" w:sz="0"/>
              <w:left w:val="none" w:color="FFFFFF" w:sz="0"/>
              <w:bottom w:val="none" w:color="FFFFFF" w:sz="0"/>
              <w:right w:val="single" w:color="00A878" w:sz="4"/>
            </w:tcBorders>
            <w:shd w:fill="0A2540"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 1</w:t>
            </w:r>
          </w:p>
        </w:tc>
        <w:tc>
          <w:tcPr>
            <w:tcW w:type="dxa" w:w="1400"/>
            <w:tcBorders>
              <w:top w:val="none" w:color="FFFFFF" w:sz="0"/>
              <w:left w:val="none" w:color="FFFFFF" w:sz="0"/>
              <w:bottom w:val="none" w:color="FFFFFF" w:sz="0"/>
              <w:right w:val="none" w:color="FFFFFF" w:sz="0"/>
            </w:tcBorders>
            <w:shd w:fill="00A878"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Dispensing Engine</w:t>
            </w:r>
          </w:p>
        </w:tc>
        <w:tc>
          <w:tcPr>
            <w:tcW w:type="dxa" w:w="6160"/>
            <w:tcBorders>
              <w:top w:val="none" w:color="FFFFFF" w:sz="0"/>
              <w:left w:val="none" w:color="FFFFFF" w:sz="0"/>
              <w:bottom w:val="none" w:color="FFFFFF" w:sz="0"/>
              <w:right w:val="none" w:color="FFFFFF" w:sz="0"/>
            </w:tcBorders>
            <w:shd w:fill="F0FFF8" w:val="clear"/>
            <w:tcMar>
              <w:top w:type="dxa" w:w="100"/>
              <w:left w:type="dxa" w:w="120"/>
              <w:bottom w:type="dxa" w:w="100"/>
              <w:right w:type="dxa" w:w="120"/>
            </w:tcMar>
          </w:tcPr>
          <w:p>
            <w:pPr>
              <w:spacing w:after="0" w:before="0"/>
            </w:pPr>
            <w:r>
              <w:rPr>
                <w:rFonts w:ascii="Arial" w:cs="Arial" w:eastAsia="Arial" w:hAnsi="Arial"/>
                <w:color w:val="4A5568"/>
                <w:sz w:val="20"/>
                <w:szCs w:val="20"/>
              </w:rPr>
              <w:t xml:space="preserve">Full dispensing workflow with Superintendent PIN authorization, controlled substance register, receipt generation, void management, and daily close reconciliation.</w:t>
            </w:r>
          </w:p>
        </w:tc>
      </w:tr>
      <w:tr>
        <w:tc>
          <w:tcPr>
            <w:tcW w:type="dxa" w:w="1800"/>
            <w:tcBorders>
              <w:top w:val="none" w:color="FFFFFF" w:sz="0"/>
              <w:left w:val="none" w:color="FFFFFF" w:sz="0"/>
              <w:bottom w:val="none" w:color="FFFFFF" w:sz="0"/>
              <w:right w:val="single" w:color="00A878" w:sz="4"/>
            </w:tcBorders>
            <w:shd w:fill="0A2540"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 2</w:t>
            </w:r>
          </w:p>
        </w:tc>
        <w:tc>
          <w:tcPr>
            <w:tcW w:type="dxa" w:w="1400"/>
            <w:tcBorders>
              <w:top w:val="none" w:color="FFFFFF" w:sz="0"/>
              <w:left w:val="none" w:color="FFFFFF" w:sz="0"/>
              <w:bottom w:val="none" w:color="FFFFFF" w:sz="0"/>
              <w:right w:val="none" w:color="FFFFFF" w:sz="0"/>
            </w:tcBorders>
            <w:shd w:fill="F7B731" w:val="clear"/>
            <w:tcMar>
              <w:top w:type="dxa" w:w="100"/>
              <w:left w:type="dxa" w:w="120"/>
              <w:bottom w:type="dxa" w:w="100"/>
              <w:right w:type="dxa" w:w="120"/>
            </w:tcMar>
          </w:tcPr>
          <w:p>
            <w:pPr>
              <w:spacing w:after="0" w:before="0"/>
            </w:pPr>
            <w:r>
              <w:rPr>
                <w:rFonts w:ascii="Arial" w:cs="Arial" w:eastAsia="Arial" w:hAnsi="Arial"/>
                <w:b/>
                <w:bCs/>
                <w:color w:val="0A2540"/>
                <w:sz w:val="20"/>
                <w:szCs w:val="20"/>
              </w:rPr>
              <w:t xml:space="preserve">Inventory Intelligence</w:t>
            </w:r>
          </w:p>
        </w:tc>
        <w:tc>
          <w:tcPr>
            <w:tcW w:type="dxa" w:w="6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0" w:before="0"/>
            </w:pPr>
            <w:r>
              <w:rPr>
                <w:rFonts w:ascii="Arial" w:cs="Arial" w:eastAsia="Arial" w:hAnsi="Arial"/>
                <w:color w:val="4A5568"/>
                <w:sz w:val="20"/>
                <w:szCs w:val="20"/>
              </w:rPr>
              <w:t xml:space="preserve">FEFO batch management, expiry tracking, EAN-13 barcode scanning, stockout forecasting (30-day demand averaging), dead stock scoring, real-time stock levels.</w:t>
            </w:r>
          </w:p>
        </w:tc>
      </w:tr>
      <w:tr>
        <w:tc>
          <w:tcPr>
            <w:tcW w:type="dxa" w:w="1800"/>
            <w:tcBorders>
              <w:top w:val="none" w:color="FFFFFF" w:sz="0"/>
              <w:left w:val="none" w:color="FFFFFF" w:sz="0"/>
              <w:bottom w:val="none" w:color="FFFFFF" w:sz="0"/>
              <w:right w:val="single" w:color="00A878" w:sz="4"/>
            </w:tcBorders>
            <w:shd w:fill="0A2540"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 3</w:t>
            </w:r>
          </w:p>
        </w:tc>
        <w:tc>
          <w:tcPr>
            <w:tcW w:type="dxa" w:w="1400"/>
            <w:tcBorders>
              <w:top w:val="none" w:color="FFFFFF" w:sz="0"/>
              <w:left w:val="none" w:color="FFFFFF" w:sz="0"/>
              <w:bottom w:val="none" w:color="FFFFFF" w:sz="0"/>
              <w:right w:val="none" w:color="FFFFFF" w:sz="0"/>
            </w:tcBorders>
            <w:shd w:fill="00A878"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Infrastructure</w:t>
            </w:r>
          </w:p>
        </w:tc>
        <w:tc>
          <w:tcPr>
            <w:tcW w:type="dxa" w:w="6160"/>
            <w:tcBorders>
              <w:top w:val="none" w:color="FFFFFF" w:sz="0"/>
              <w:left w:val="none" w:color="FFFFFF" w:sz="0"/>
              <w:bottom w:val="none" w:color="FFFFFF" w:sz="0"/>
              <w:right w:val="none" w:color="FFFFFF" w:sz="0"/>
            </w:tcBorders>
            <w:shd w:fill="F0FFF8" w:val="clear"/>
            <w:tcMar>
              <w:top w:type="dxa" w:w="100"/>
              <w:left w:type="dxa" w:w="120"/>
              <w:bottom w:type="dxa" w:w="100"/>
              <w:right w:type="dxa" w:w="120"/>
            </w:tcMar>
          </w:tcPr>
          <w:p>
            <w:pPr>
              <w:spacing w:after="0" w:before="0"/>
            </w:pPr>
            <w:r>
              <w:rPr>
                <w:rFonts w:ascii="Arial" w:cs="Arial" w:eastAsia="Arial" w:hAnsi="Arial"/>
                <w:color w:val="4A5568"/>
                <w:sz w:val="20"/>
                <w:szCs w:val="20"/>
              </w:rPr>
              <w:t xml:space="preserve">TMDA audit trail, Pharmacy Council documentation, cold chain temperature logging (GSDP 2021), pharmacovigilance ADR schema, TMDA inspection readiness.</w:t>
            </w:r>
          </w:p>
        </w:tc>
      </w:tr>
      <w:tr>
        <w:tc>
          <w:tcPr>
            <w:tcW w:type="dxa" w:w="1800"/>
            <w:tcBorders>
              <w:top w:val="none" w:color="FFFFFF" w:sz="0"/>
              <w:left w:val="none" w:color="FFFFFF" w:sz="0"/>
              <w:bottom w:val="none" w:color="FFFFFF" w:sz="0"/>
              <w:right w:val="single" w:color="00A878" w:sz="4"/>
            </w:tcBorders>
            <w:shd w:fill="0A2540"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 4</w:t>
            </w:r>
          </w:p>
        </w:tc>
        <w:tc>
          <w:tcPr>
            <w:tcW w:type="dxa" w:w="1400"/>
            <w:tcBorders>
              <w:top w:val="none" w:color="FFFFFF" w:sz="0"/>
              <w:left w:val="none" w:color="FFFFFF" w:sz="0"/>
              <w:bottom w:val="none" w:color="FFFFFF" w:sz="0"/>
              <w:right w:val="none" w:color="FFFFFF" w:sz="0"/>
            </w:tcBorders>
            <w:shd w:fill="F7B731" w:val="clear"/>
            <w:tcMar>
              <w:top w:type="dxa" w:w="100"/>
              <w:left w:type="dxa" w:w="120"/>
              <w:bottom w:type="dxa" w:w="100"/>
              <w:right w:type="dxa" w:w="120"/>
            </w:tcMar>
          </w:tcPr>
          <w:p>
            <w:pPr>
              <w:spacing w:after="0" w:before="0"/>
            </w:pPr>
            <w:r>
              <w:rPr>
                <w:rFonts w:ascii="Arial" w:cs="Arial" w:eastAsia="Arial" w:hAnsi="Arial"/>
                <w:b/>
                <w:bCs/>
                <w:color w:val="0A2540"/>
                <w:sz w:val="20"/>
                <w:szCs w:val="20"/>
              </w:rPr>
              <w:t xml:space="preserve">Wholesale Network</w:t>
            </w:r>
          </w:p>
        </w:tc>
        <w:tc>
          <w:tcPr>
            <w:tcW w:type="dxa" w:w="6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0" w:before="0"/>
            </w:pPr>
            <w:r>
              <w:rPr>
                <w:rFonts w:ascii="Arial" w:cs="Arial" w:eastAsia="Arial" w:hAnsi="Arial"/>
                <w:color w:val="4A5568"/>
                <w:sz w:val="20"/>
                <w:szCs w:val="20"/>
              </w:rPr>
              <w:t xml:space="preserve">B2B ordering (closed network), purchase orders to upstream suppliers, delivery manifests, credit note system, per-client price overrides, wholesale returns management.</w:t>
            </w:r>
          </w:p>
        </w:tc>
      </w:tr>
      <w:tr>
        <w:tc>
          <w:tcPr>
            <w:tcW w:type="dxa" w:w="1800"/>
            <w:tcBorders>
              <w:top w:val="none" w:color="FFFFFF" w:sz="0"/>
              <w:left w:val="none" w:color="FFFFFF" w:sz="0"/>
              <w:bottom w:val="none" w:color="FFFFFF" w:sz="0"/>
              <w:right w:val="single" w:color="00A878" w:sz="4"/>
            </w:tcBorders>
            <w:shd w:fill="0A2540"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 5</w:t>
            </w:r>
          </w:p>
        </w:tc>
        <w:tc>
          <w:tcPr>
            <w:tcW w:type="dxa" w:w="1400"/>
            <w:tcBorders>
              <w:top w:val="none" w:color="FFFFFF" w:sz="0"/>
              <w:left w:val="none" w:color="FFFFFF" w:sz="0"/>
              <w:bottom w:val="none" w:color="FFFFFF" w:sz="0"/>
              <w:right w:val="none" w:color="FFFFFF" w:sz="0"/>
            </w:tcBorders>
            <w:shd w:fill="00A878"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Clinical Safety AI</w:t>
            </w:r>
          </w:p>
        </w:tc>
        <w:tc>
          <w:tcPr>
            <w:tcW w:type="dxa" w:w="6160"/>
            <w:tcBorders>
              <w:top w:val="none" w:color="FFFFFF" w:sz="0"/>
              <w:left w:val="none" w:color="FFFFFF" w:sz="0"/>
              <w:bottom w:val="none" w:color="FFFFFF" w:sz="0"/>
              <w:right w:val="none" w:color="FFFFFF" w:sz="0"/>
            </w:tcBorders>
            <w:shd w:fill="F0FFF8" w:val="clear"/>
            <w:tcMar>
              <w:top w:type="dxa" w:w="100"/>
              <w:left w:type="dxa" w:w="120"/>
              <w:bottom w:type="dxa" w:w="100"/>
              <w:right w:type="dxa" w:w="120"/>
            </w:tcMar>
          </w:tcPr>
          <w:p>
            <w:pPr>
              <w:spacing w:after="0" w:before="0"/>
            </w:pPr>
            <w:r>
              <w:rPr>
                <w:rFonts w:ascii="Arial" w:cs="Arial" w:eastAsia="Arial" w:hAnsi="Arial"/>
                <w:color w:val="4A5568"/>
                <w:sz w:val="20"/>
                <w:szCs w:val="20"/>
              </w:rPr>
              <w:t xml:space="preserve">Drug interaction checker (4 severity levels + Superintendent PIN escalation), alternative medicine suggestions and therapeutic equivalence matching, AWaRe antibiotic classification (NEMLIT 2021), contraindication alerts (8 patient-status flags), paediatric dose calculator, NCD hints, AI clinical counselling (Anthropic API — session-only, no patient data stored). Available to all paid tiers — never gated.</w:t>
            </w:r>
          </w:p>
        </w:tc>
      </w:tr>
    </w:tbl>
    <w:p>
      <w:pPr>
        <w:spacing w:after="80" w:before="80"/>
      </w:pPr>
      <w:r>
        <w:rPr>
          <w:rFonts w:ascii="Arial" w:cs="Arial" w:eastAsia="Arial" w:hAnsi="Arial"/>
          <w:color w:val="4A5568"/>
          <w:sz w:val="22"/>
          <w:szCs w:val="22"/>
        </w:rPr>
        <w:t xml:space="preserve"/>
      </w:r>
    </w:p>
    <w:p>
      <w:pPr>
        <w:spacing w:after="80" w:before="80"/>
      </w:pPr>
      <w:r>
        <w:rPr>
          <w:rFonts w:ascii="Arial" w:cs="Arial" w:eastAsia="Arial" w:hAnsi="Arial"/>
          <w:color w:val="4A5568"/>
          <w:sz w:val="22"/>
          <w:szCs w:val="22"/>
        </w:rPr>
        <w:t xml:space="preserve">APOTEKH is deployed on Vercel (frontend), Railway (backend), and Supabase (PostgreSQL). The platform is offline-first by design: every core function works without internet connectivity and syncs automatically when a connection is restored. It runs on any browser or mobile device. No proprietary hardware required.</w:t>
      </w:r>
    </w:p>
    <w:p>
      <w:pPr>
        <w:pStyle w:val="Heading1"/>
        <w:pageBreakBefore/>
        <w:spacing w:after="160" w:before="480"/>
      </w:pPr>
      <w:r>
        <w:rPr>
          <w:rFonts w:ascii="Arial" w:cs="Arial" w:eastAsia="Arial" w:hAnsi="Arial"/>
          <w:b/>
          <w:bCs/>
          <w:color w:val="0A2540"/>
          <w:sz w:val="36"/>
          <w:szCs w:val="36"/>
        </w:rPr>
        <w:t xml:space="preserve">2. The Problem</w:t>
      </w:r>
    </w:p>
    <w:p>
      <w:pPr>
        <w:spacing w:after="80" w:before="80"/>
      </w:pPr>
      <w:r>
        <w:rPr>
          <w:rFonts w:ascii="Arial" w:cs="Arial" w:eastAsia="Arial" w:hAnsi="Arial"/>
          <w:color w:val="4A5568"/>
          <w:sz w:val="22"/>
          <w:szCs w:val="22"/>
        </w:rPr>
        <w:t xml:space="preserve">Tanzania has approximately 16,000 regulated medicine outlets: registered pharmacies, ADDO outlets, dispensaries with pharmacy services, and hospital-attached dispensing units. Fewer than 3% operate any purpose-built pharmacy management software. The rest operate on paper, generic tools, or nothing.</w:t>
      </w:r>
    </w:p>
    <w:p>
      <w:pPr>
        <w:spacing w:after="80" w:before="80"/>
      </w:pPr>
      <w:r>
        <w:rPr>
          <w:rFonts w:ascii="Arial" w:cs="Arial" w:eastAsia="Arial" w:hAnsi="Arial"/>
          <w:color w:val="4A5568"/>
          <w:sz w:val="22"/>
          <w:szCs w:val="22"/>
        </w:rPr>
        <w:t xml:space="preserve">Pharmacies are not failing because of lack of demand. They are failing because they are running critical healthcare infrastructure on tools built for a grocery shop — or nothing at all.</w:t>
      </w:r>
    </w:p>
    <w:p>
      <w:pPr>
        <w:pStyle w:val="Heading2"/>
        <w:spacing w:after="120" w:before="320"/>
      </w:pPr>
      <w:r>
        <w:rPr>
          <w:rFonts w:ascii="Arial" w:cs="Arial" w:eastAsia="Arial" w:hAnsi="Arial"/>
          <w:b/>
          <w:bCs/>
          <w:color w:val="0A2540"/>
          <w:sz w:val="26"/>
          <w:szCs w:val="26"/>
        </w:rPr>
        <w:t xml:space="preserve">Five compounding operational failures</w:t>
      </w:r>
    </w:p>
    <w:p>
      <w:pPr>
        <w:pStyle w:val="ListParagraph"/>
        <w:numPr>
          <w:ilvl w:val="0"/>
          <w:numId w:val="2"/>
        </w:numPr>
        <w:spacing w:after="60" w:before="60"/>
      </w:pPr>
      <w:r>
        <w:rPr>
          <w:rFonts w:ascii="Arial" w:cs="Arial" w:eastAsia="Arial" w:hAnsi="Arial"/>
          <w:b/>
          <w:bCs/>
          <w:color w:val="0A2540"/>
          <w:sz w:val="22"/>
          <w:szCs w:val="22"/>
        </w:rPr>
        <w:t xml:space="preserve">Stockouts and dead stock: </w:t>
      </w:r>
      <w:r>
        <w:rPr>
          <w:rFonts w:ascii="Arial" w:cs="Arial" w:eastAsia="Arial" w:hAnsi="Arial"/>
          <w:color w:val="4A5568"/>
          <w:sz w:val="22"/>
          <w:szCs w:val="22"/>
        </w:rPr>
        <w:t xml:space="preserve">No inventory intelligence.</w:t>
      </w:r>
    </w:p>
    <w:p>
      <w:pPr>
        <w:spacing w:after="80" w:before="80"/>
        <w:ind w:left="720"/>
      </w:pPr>
      <w:r>
        <w:rPr>
          <w:rFonts w:ascii="Arial" w:cs="Arial" w:eastAsia="Arial" w:hAnsi="Arial"/>
          <w:color w:val="4A5568"/>
          <w:sz w:val="22"/>
          <w:szCs w:val="22"/>
        </w:rPr>
        <w:t xml:space="preserve">Stock managed by eye. Pharmacies routinely run out of fast-moving products while holding months of dead stock that erodes capital. Without FEFO discipline enforced by a system, expired drugs reach patients or are silently discarded at a loss.</w:t>
      </w:r>
    </w:p>
    <w:p>
      <w:pPr>
        <w:pStyle w:val="ListParagraph"/>
        <w:numPr>
          <w:ilvl w:val="0"/>
          <w:numId w:val="2"/>
        </w:numPr>
        <w:spacing w:after="60" w:before="60"/>
      </w:pPr>
      <w:r>
        <w:rPr>
          <w:rFonts w:ascii="Arial" w:cs="Arial" w:eastAsia="Arial" w:hAnsi="Arial"/>
          <w:b/>
          <w:bCs/>
          <w:color w:val="0A2540"/>
          <w:sz w:val="22"/>
          <w:szCs w:val="22"/>
        </w:rPr>
        <w:t xml:space="preserve">No clinical safety layer: </w:t>
      </w:r>
      <w:r>
        <w:rPr>
          <w:rFonts w:ascii="Arial" w:cs="Arial" w:eastAsia="Arial" w:hAnsi="Arial"/>
          <w:color w:val="4A5568"/>
          <w:sz w:val="22"/>
          <w:szCs w:val="22"/>
        </w:rPr>
        <w:t xml:space="preserve">Drug interactions, AWaRe antibiotic classifications, pregnancy contraindications, controlled substance flags.</w:t>
      </w:r>
    </w:p>
    <w:p>
      <w:pPr>
        <w:spacing w:after="80" w:before="80"/>
        <w:ind w:left="720"/>
      </w:pPr>
      <w:r>
        <w:rPr>
          <w:rFonts w:ascii="Arial" w:cs="Arial" w:eastAsia="Arial" w:hAnsi="Arial"/>
          <w:color w:val="4A5568"/>
          <w:sz w:val="22"/>
          <w:szCs w:val="22"/>
        </w:rPr>
        <w:t xml:space="preserve">These exist in regulatory frameworks but not at the point of dispensing. The pharmacist relies entirely on personal memory in a high-volume, low-margin environment.</w:t>
      </w:r>
    </w:p>
    <w:p>
      <w:pPr>
        <w:pStyle w:val="ListParagraph"/>
        <w:numPr>
          <w:ilvl w:val="0"/>
          <w:numId w:val="2"/>
        </w:numPr>
        <w:spacing w:after="60" w:before="60"/>
      </w:pPr>
      <w:r>
        <w:rPr>
          <w:rFonts w:ascii="Arial" w:cs="Arial" w:eastAsia="Arial" w:hAnsi="Arial"/>
          <w:b/>
          <w:bCs/>
          <w:color w:val="0A2540"/>
          <w:sz w:val="22"/>
          <w:szCs w:val="22"/>
        </w:rPr>
        <w:t xml:space="preserve">No compliance infrastructure: </w:t>
      </w:r>
      <w:r>
        <w:rPr>
          <w:rFonts w:ascii="Arial" w:cs="Arial" w:eastAsia="Arial" w:hAnsi="Arial"/>
          <w:color w:val="4A5568"/>
          <w:sz w:val="22"/>
          <w:szCs w:val="22"/>
        </w:rPr>
        <w:t xml:space="preserve">TMDA inspections, Pharmacy Council renewal documentation.</w:t>
      </w:r>
    </w:p>
    <w:p>
      <w:pPr>
        <w:spacing w:after="80" w:before="80"/>
        <w:ind w:left="720"/>
      </w:pPr>
      <w:r>
        <w:rPr>
          <w:rFonts w:ascii="Arial" w:cs="Arial" w:eastAsia="Arial" w:hAnsi="Arial"/>
          <w:color w:val="4A5568"/>
          <w:sz w:val="22"/>
          <w:szCs w:val="22"/>
        </w:rPr>
        <w:t xml:space="preserve">All require audit trails that paper systems cannot produce. The result is inspection failures and regulatory penalties that punish operators trying to do things correctly.</w:t>
      </w:r>
    </w:p>
    <w:p>
      <w:pPr>
        <w:pStyle w:val="ListParagraph"/>
        <w:numPr>
          <w:ilvl w:val="0"/>
          <w:numId w:val="2"/>
        </w:numPr>
        <w:spacing w:after="60" w:before="60"/>
      </w:pPr>
      <w:r>
        <w:rPr>
          <w:rFonts w:ascii="Arial" w:cs="Arial" w:eastAsia="Arial" w:hAnsi="Arial"/>
          <w:b/>
          <w:bCs/>
          <w:color w:val="0A2540"/>
          <w:sz w:val="22"/>
          <w:szCs w:val="22"/>
        </w:rPr>
        <w:t xml:space="preserve">No supply chain visibility: </w:t>
      </w:r>
      <w:r>
        <w:rPr>
          <w:rFonts w:ascii="Arial" w:cs="Arial" w:eastAsia="Arial" w:hAnsi="Arial"/>
          <w:color w:val="4A5568"/>
          <w:sz w:val="22"/>
          <w:szCs w:val="22"/>
        </w:rPr>
        <w:t xml:space="preserve">Wholesale ordering done by phone call or WhatsApp.</w:t>
      </w:r>
    </w:p>
    <w:p>
      <w:pPr>
        <w:spacing w:after="80" w:before="80"/>
        <w:ind w:left="720"/>
      </w:pPr>
      <w:r>
        <w:rPr>
          <w:rFonts w:ascii="Arial" w:cs="Arial" w:eastAsia="Arial" w:hAnsi="Arial"/>
          <w:color w:val="4A5568"/>
          <w:sz w:val="22"/>
          <w:szCs w:val="22"/>
        </w:rPr>
        <w:t xml:space="preserve">No purchase order record, no supplier performance tracking, no delivery confirmation, no credit note system. The wholesale relationship is entirely unstructured.</w:t>
      </w:r>
    </w:p>
    <w:p>
      <w:pPr>
        <w:pStyle w:val="ListParagraph"/>
        <w:numPr>
          <w:ilvl w:val="0"/>
          <w:numId w:val="2"/>
        </w:numPr>
        <w:spacing w:after="60" w:before="60"/>
      </w:pPr>
      <w:r>
        <w:rPr>
          <w:rFonts w:ascii="Arial" w:cs="Arial" w:eastAsia="Arial" w:hAnsi="Arial"/>
          <w:b/>
          <w:bCs/>
          <w:color w:val="0A2540"/>
          <w:sz w:val="22"/>
          <w:szCs w:val="22"/>
        </w:rPr>
        <w:t xml:space="preserve">No financial intelligence: </w:t>
      </w:r>
      <w:r>
        <w:rPr>
          <w:rFonts w:ascii="Arial" w:cs="Arial" w:eastAsia="Arial" w:hAnsi="Arial"/>
          <w:color w:val="4A5568"/>
          <w:sz w:val="22"/>
          <w:szCs w:val="22"/>
        </w:rPr>
        <w:t xml:space="preserve">Daily close is a manual reconciliation.</w:t>
      </w:r>
    </w:p>
    <w:p>
      <w:pPr>
        <w:spacing w:after="80" w:before="80"/>
        <w:ind w:left="720"/>
      </w:pPr>
      <w:r>
        <w:rPr>
          <w:rFonts w:ascii="Arial" w:cs="Arial" w:eastAsia="Arial" w:hAnsi="Arial"/>
          <w:color w:val="4A5568"/>
          <w:sz w:val="22"/>
          <w:szCs w:val="22"/>
        </w:rPr>
        <w:t xml:space="preserve">Owners cannot see payment method breakdown, variance between expected and actual stock, or staff accountability for discrepancies.</w:t>
      </w:r>
    </w:p>
    <w:p>
      <w:pPr>
        <w:pStyle w:val="Heading2"/>
        <w:spacing w:after="120" w:before="320"/>
      </w:pPr>
      <w:r>
        <w:rPr>
          <w:rFonts w:ascii="Arial" w:cs="Arial" w:eastAsia="Arial" w:hAnsi="Arial"/>
          <w:b/>
          <w:bCs/>
          <w:color w:val="0A2540"/>
          <w:sz w:val="26"/>
          <w:szCs w:val="26"/>
        </w:rPr>
        <w:t xml:space="preserve">Why existing systems are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rPr>
          <w:tblHeader/>
        </w:trPr>
        <w:tc>
          <w:tcPr>
            <w:tcW w:type="dxa" w:w="2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w:t>
            </w:r>
          </w:p>
        </w:tc>
        <w:tc>
          <w:tcPr>
            <w:tcW w:type="dxa" w:w="12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Clinical Safety</w:t>
            </w:r>
          </w:p>
        </w:tc>
        <w:tc>
          <w:tcPr>
            <w:tcW w:type="dxa" w:w="12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Compliance</w:t>
            </w:r>
          </w:p>
        </w:tc>
        <w:tc>
          <w:tcPr>
            <w:tcW w:type="dxa" w:w="12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Inventory</w:t>
            </w:r>
          </w:p>
        </w:tc>
        <w:tc>
          <w:tcPr>
            <w:tcW w:type="dxa" w:w="12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Wholesale</w:t>
            </w:r>
          </w:p>
        </w:tc>
        <w:tc>
          <w:tcPr>
            <w:tcW w:type="dxa" w:w="12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TZ-Native</w:t>
            </w:r>
          </w:p>
        </w:tc>
        <w:tc>
          <w:tcPr>
            <w:tcW w:type="dxa" w:w="96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spacing w:after="0" w:before="0"/>
              <w:jc w:val="center"/>
            </w:pPr>
            <w:r>
              <w:rPr>
                <w:rFonts w:ascii="Arial" w:cs="Arial" w:eastAsia="Arial" w:hAnsi="Arial"/>
                <w:b/>
                <w:bCs/>
                <w:color w:val="FFFFFF"/>
                <w:sz w:val="18"/>
                <w:szCs w:val="18"/>
              </w:rPr>
              <w:t xml:space="preserve">Offline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pPr>
              <w:spacing w:after="0" w:before="0"/>
              <w:jc w:val="left"/>
            </w:pPr>
            <w:r>
              <w:rPr>
                <w:rFonts w:ascii="Arial" w:cs="Arial" w:eastAsia="Arial" w:hAnsi="Arial"/>
                <w:color w:val="4A5568"/>
                <w:sz w:val="20"/>
                <w:szCs w:val="20"/>
              </w:rPr>
              <w:t xml:space="preserve">Generic POS</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96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80"/>
            </w:tcMar>
          </w:tcPr>
          <w:p>
            <w:pPr>
              <w:spacing w:after="0" w:before="0"/>
              <w:jc w:val="left"/>
            </w:pPr>
            <w:r>
              <w:rPr>
                <w:rFonts w:ascii="Arial" w:cs="Arial" w:eastAsia="Arial" w:hAnsi="Arial"/>
                <w:color w:val="4A5568"/>
                <w:sz w:val="20"/>
                <w:szCs w:val="20"/>
              </w:rPr>
              <w:t xml:space="preserve">Supply Chain Platforms (mPharma)</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96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pPr>
              <w:spacing w:after="0" w:before="0"/>
              <w:jc w:val="left"/>
            </w:pPr>
            <w:r>
              <w:rPr>
                <w:rFonts w:ascii="Arial" w:cs="Arial" w:eastAsia="Arial" w:hAnsi="Arial"/>
                <w:color w:val="4A5568"/>
                <w:sz w:val="20"/>
                <w:szCs w:val="20"/>
              </w:rPr>
              <w:t xml:space="preserve">Public Sector (DHIS2/iHRIS)</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96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80"/>
            </w:tcMar>
          </w:tcPr>
          <w:p>
            <w:pPr>
              <w:spacing w:after="0" w:before="0"/>
              <w:jc w:val="left"/>
            </w:pPr>
            <w:r>
              <w:rPr>
                <w:rFonts w:ascii="Arial" w:cs="Arial" w:eastAsia="Arial" w:hAnsi="Arial"/>
                <w:color w:val="4A5568"/>
                <w:sz w:val="20"/>
                <w:szCs w:val="20"/>
              </w:rPr>
              <w:t xml:space="preserve">Imported Pharmacy Software</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4A5568"/>
                <w:sz w:val="20"/>
                <w:szCs w:val="20"/>
              </w:rPr>
              <w:t xml:space="preserve">Partial</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960"/>
            <w:tcBorders>
              <w:top w:val="single" w:color="DDDDDD" w:sz="4"/>
              <w:left w:val="single" w:color="DDDDDD" w:sz="4"/>
              <w:bottom w:val="single" w:color="DDDDDD" w:sz="4"/>
              <w:right w:val="single" w:color="DDDDDD" w:sz="4"/>
            </w:tcBorders>
            <w:shd w:fill="F9FAFB"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pPr>
              <w:spacing w:after="0" w:before="0"/>
              <w:jc w:val="left"/>
            </w:pPr>
            <w:r>
              <w:rPr>
                <w:rFonts w:ascii="Arial" w:cs="Arial" w:eastAsia="Arial" w:hAnsi="Arial"/>
                <w:color w:val="4A5568"/>
                <w:sz w:val="20"/>
                <w:szCs w:val="20"/>
              </w:rPr>
              <w:t xml:space="preserve">Excel / WhatsApp</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CC3333"/>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00A878"/>
                <w:sz w:val="20"/>
                <w:szCs w:val="20"/>
              </w:rPr>
              <w:t xml:space="preserve">✓</w:t>
            </w:r>
          </w:p>
        </w:tc>
        <w:tc>
          <w:tcPr>
            <w:tcW w:type="dxa" w:w="960"/>
            <w:tcBorders>
              <w:top w:val="single" w:color="DDDDDD" w:sz="4"/>
              <w:left w:val="single" w:color="DDDDDD" w:sz="4"/>
              <w:bottom w:val="single" w:color="DDDDDD" w:sz="4"/>
              <w:right w:val="single" w:color="DDDDDD" w:sz="4"/>
            </w:tcBorders>
            <w:shd w:fill="FFFFFF" w:val="clear"/>
            <w:tcMar>
              <w:top w:type="dxa" w:w="80"/>
              <w:left w:type="dxa" w:w="80"/>
              <w:bottom w:type="dxa" w:w="80"/>
              <w:right w:type="dxa" w:w="80"/>
            </w:tcMar>
          </w:tcPr>
          <w:p>
            <w:pPr>
              <w:spacing w:after="0" w:before="0"/>
              <w:jc w:val="center"/>
            </w:pPr>
            <w:r>
              <w:rPr>
                <w:rFonts w:ascii="Arial" w:cs="Arial" w:eastAsia="Arial" w:hAnsi="Arial"/>
                <w:color w:val="00A878"/>
                <w:sz w:val="20"/>
                <w:szCs w:val="20"/>
              </w:rPr>
              <w:t xml:space="preserve">✓</w:t>
            </w:r>
          </w:p>
        </w:tc>
      </w:tr>
      <w:tr>
        <w:tc>
          <w:tcPr>
            <w:tcW w:type="dxa" w:w="2400"/>
            <w:tcBorders>
              <w:top w:val="single" w:color="DDDDDD" w:sz="4"/>
              <w:left w:val="single" w:color="DDDDDD" w:sz="4"/>
              <w:bottom w:val="single" w:color="DDDDDD" w:sz="4"/>
              <w:right w:val="single" w:color="DDDDDD" w:sz="4"/>
            </w:tcBorders>
            <w:shd w:fill="00A87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APOTEKH</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120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c>
          <w:tcPr>
            <w:tcW w:type="dxa" w:w="960"/>
            <w:tcBorders>
              <w:top w:val="single" w:color="DDDDDD" w:sz="4"/>
              <w:left w:val="single" w:color="DDDDDD" w:sz="4"/>
              <w:bottom w:val="single" w:color="DDDDDD" w:sz="4"/>
              <w:right w:val="single" w:color="DDDDDD" w:sz="4"/>
            </w:tcBorders>
            <w:shd w:fill="00A878"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w:t>
            </w:r>
          </w:p>
        </w:tc>
      </w:tr>
    </w:tbl>
    <w:p>
      <w:pPr>
        <w:spacing w:after="80" w:before="80"/>
      </w:pPr>
      <w:r>
        <w:rPr>
          <w:rFonts w:ascii="Arial" w:cs="Arial" w:eastAsia="Arial" w:hAnsi="Arial"/>
          <w:color w:val="4A5568"/>
          <w:sz w:val="22"/>
          <w:szCs w:val="22"/>
        </w:rPr>
        <w:t xml:space="preserve"/>
      </w:r>
    </w:p>
    <w:p>
      <w:pPr>
        <w:pStyle w:val="Heading1"/>
        <w:pageBreakBefore/>
        <w:spacing w:after="160" w:before="480"/>
      </w:pPr>
      <w:r>
        <w:rPr>
          <w:rFonts w:ascii="Arial" w:cs="Arial" w:eastAsia="Arial" w:hAnsi="Arial"/>
          <w:b/>
          <w:bCs/>
          <w:color w:val="0A2540"/>
          <w:sz w:val="36"/>
          <w:szCs w:val="36"/>
        </w:rPr>
        <w:t xml:space="preserve">3. Business Model</w:t>
      </w:r>
    </w:p>
    <w:p>
      <w:pPr>
        <w:pStyle w:val="Heading2"/>
        <w:spacing w:after="120" w:before="320"/>
      </w:pPr>
      <w:r>
        <w:rPr>
          <w:rFonts w:ascii="Arial" w:cs="Arial" w:eastAsia="Arial" w:hAnsi="Arial"/>
          <w:b/>
          <w:bCs/>
          <w:color w:val="0A2540"/>
          <w:sz w:val="26"/>
          <w:szCs w:val="26"/>
        </w:rPr>
        <w:t xml:space="preserve">Grace access model — no hard cutoff</w:t>
      </w:r>
    </w:p>
    <w:p>
      <w:pPr>
        <w:spacing w:after="80" w:before="80"/>
      </w:pPr>
      <w:r>
        <w:rPr>
          <w:rFonts w:ascii="Arial" w:cs="Arial" w:eastAsia="Arial" w:hAnsi="Arial"/>
          <w:color w:val="4A5568"/>
          <w:sz w:val="22"/>
          <w:szCs w:val="22"/>
        </w:rPr>
        <w:t xml:space="preserve">APOTEKH does not cut off a pharmacy when a subscription lapses. If a pharmacy cannot pay, it retains limited operational access: basic dispensing records and inventory visibility. This is not a free tier — it is a deliberate continuity policy. The message to every pharmacy owner: you will never lose access to your data and your operations will not be disabled.</w:t>
      </w:r>
    </w:p>
    <w:p>
      <w:pPr>
        <w:spacing w:after="80" w:before="80"/>
      </w:pPr>
      <w:r>
        <w:rPr>
          <w:rFonts w:ascii="Arial" w:cs="Arial" w:eastAsia="Arial" w:hAnsi="Arial"/>
          <w:color w:val="4A5568"/>
          <w:sz w:val="22"/>
          <w:szCs w:val="22"/>
        </w:rPr>
        <w:t xml:space="preserve">This removes the biggest adoption barrier in the market — fear of dependency on a system an owner may not be able to afford later. Once embedded and operationally relied upon, the paid upgrade conversation is about unlocking more capability, not about avoiding a service cutoff.</w:t>
      </w:r>
    </w:p>
    <w:p>
      <w:pPr>
        <w:spacing w:after="80" w:before="80"/>
      </w:pPr>
      <w:r>
        <w:rPr>
          <w:rFonts w:ascii="Arial" w:cs="Arial" w:eastAsia="Arial" w:hAnsi="Arial"/>
          <w:color w:val="4A5568"/>
          <w:sz w:val="22"/>
          <w:szCs w:val="22"/>
        </w:rPr>
        <w:t xml:space="preserve">Each 14-day trial gives access to the full feature set of the chosen tier. At trial end, the pharmacy converts to a paid subscription or falls back to grace access. No extensions — the hard conversion date signals that APOTEKH is a serious operational tool, not a demo.</w:t>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The one-line owner pitch: "APOTEKH runs your pharmacy — online or offline, from your counter or your phone — and you never lose access to it, even if you are not on an active paid plan."</w:t>
      </w:r>
    </w:p>
    <w:p>
      <w:pPr>
        <w:pStyle w:val="Heading2"/>
        <w:spacing w:after="120" w:before="320"/>
      </w:pPr>
      <w:r>
        <w:rPr>
          <w:rFonts w:ascii="Arial" w:cs="Arial" w:eastAsia="Arial" w:hAnsi="Arial"/>
          <w:b/>
          <w:bCs/>
          <w:color w:val="0A2540"/>
          <w:sz w:val="26"/>
          <w:szCs w:val="26"/>
        </w:rPr>
        <w:t xml:space="preserve">Subscription tiers (canonical pricing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Monthly (TZS)</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Annual (TZS)</w:t>
            </w:r>
          </w:p>
        </w:tc>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Users</w:t>
            </w:r>
          </w:p>
        </w:tc>
        <w:tc>
          <w:tcPr>
            <w:tcW w:type="dxa" w:w="27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 Key additions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ADDO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 outlet. Basic POS, FEFO inventory, Clinical Decision Support, DLDM compliance tracker, Knowledge Hub (read)</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Basic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39,000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390,000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 outlets. Adds Owner Dashboard, roles &amp; permissions, void/reissue audit trail, full TMDA + PC compliance tracker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Standard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 outlets. Adds accounting module, customer history, Patient Ordering Portal, marketing campaigns, multi-shop reporting, full Knowledge Hub</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Premium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75,000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750,000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 outlets. Adds demand forecasting, dead stock scoring, revenue projections, peer benchmarking, Knowledge Hub with courses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Wholesale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100,000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1,000,000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 wholesale outlet. B2B orders, delivery manifests, credit notes, per-client pricing, returns. No retail dispensing.</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540"/>
                <w:sz w:val="20"/>
                <w:szCs w:val="20"/>
              </w:rPr>
              <w:t xml:space="preserve">Enterprise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Negotiated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Negotiated</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Unlimited</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Chains 6+ outlets. All Premium features. Custom reporting, API access.</w:t>
            </w:r>
          </w:p>
        </w:tc>
      </w:tr>
    </w:tbl>
    <w:p>
      <w:pPr>
        <w:spacing w:after="80" w:before="80"/>
      </w:pPr>
      <w:r>
        <w:rPr>
          <w:rFonts w:ascii="Arial" w:cs="Arial" w:eastAsia="Arial" w:hAnsi="Arial"/>
          <w:color w:val="4A5568"/>
          <w:sz w:val="22"/>
          <w:szCs w:val="22"/>
        </w:rPr>
        <w:t xml:space="preserve"/>
      </w:r>
    </w:p>
    <w:p>
      <w:pPr>
        <w:spacing w:after="80" w:before="80"/>
      </w:pPr>
      <w:r>
        <w:rPr>
          <w:rFonts w:ascii="Arial" w:cs="Arial" w:eastAsia="Arial" w:hAnsi="Arial"/>
          <w:color w:val="4A5568"/>
          <w:sz w:val="22"/>
          <w:szCs w:val="22"/>
        </w:rPr>
        <w:t xml:space="preserve">Annual billing = 10× monthly (two months free). All tiers include a 14-day trial of the full feature set. At trial end: convert to a paid subscription or fall to grace access. No extensions — the hard conversion date is a discipline signal.</w:t>
      </w:r>
    </w:p>
    <w:p>
      <w:pPr>
        <w:pStyle w:val="Heading2"/>
        <w:spacing w:after="120" w:before="320"/>
      </w:pPr>
      <w:r>
        <w:rPr>
          <w:rFonts w:ascii="Arial" w:cs="Arial" w:eastAsia="Arial" w:hAnsi="Arial"/>
          <w:b/>
          <w:bCs/>
          <w:color w:val="0A2540"/>
          <w:sz w:val="26"/>
          <w:szCs w:val="26"/>
        </w:rPr>
        <w:t xml:space="preserve">Grace access — what it includes and what it does not</w:t>
      </w:r>
    </w:p>
    <w:p>
      <w:pPr>
        <w:spacing w:after="80" w:before="80"/>
      </w:pPr>
      <w:r>
        <w:rPr>
          <w:rFonts w:ascii="Arial" w:cs="Arial" w:eastAsia="Arial" w:hAnsi="Arial"/>
          <w:color w:val="4A5568"/>
          <w:sz w:val="22"/>
          <w:szCs w:val="22"/>
        </w:rPr>
        <w:t xml:space="preserve">Grace access (lapsed subscription) retains: basic dispensing records, single-user operational access, inventory visibility. It is permanent — a pharmacy is never fully locked out of its data.</w:t>
      </w:r>
    </w:p>
    <w:p>
      <w:pPr>
        <w:spacing w:after="80" w:before="80"/>
      </w:pPr>
      <w:r>
        <w:rPr>
          <w:rFonts w:ascii="Arial" w:cs="Arial" w:eastAsia="Arial" w:hAnsi="Arial"/>
          <w:color w:val="4A5568"/>
          <w:sz w:val="22"/>
          <w:szCs w:val="22"/>
        </w:rPr>
        <w:t xml:space="preserve">Grace access does not include:</w:t>
      </w:r>
    </w:p>
    <w:p>
      <w:pPr>
        <w:pStyle w:val="ListParagraph"/>
        <w:numPr>
          <w:ilvl w:val="0"/>
          <w:numId w:val="2"/>
        </w:numPr>
        <w:spacing w:after="60" w:before="60"/>
      </w:pPr>
      <w:r>
        <w:rPr>
          <w:rFonts w:ascii="Arial" w:cs="Arial" w:eastAsia="Arial" w:hAnsi="Arial"/>
          <w:color w:val="4A5568"/>
          <w:sz w:val="22"/>
          <w:szCs w:val="22"/>
        </w:rPr>
        <w:t xml:space="preserve">Clinical Decision Support Suite (drug interactions, AWaRe badges, contraindication alerts, dose calculator, alternative medicine suggestions, AI counselling)</w:t>
      </w:r>
    </w:p>
    <w:p>
      <w:pPr>
        <w:pStyle w:val="ListParagraph"/>
        <w:numPr>
          <w:ilvl w:val="0"/>
          <w:numId w:val="2"/>
        </w:numPr>
        <w:spacing w:after="60" w:before="60"/>
      </w:pPr>
      <w:r>
        <w:rPr>
          <w:rFonts w:ascii="Arial" w:cs="Arial" w:eastAsia="Arial" w:hAnsi="Arial"/>
          <w:color w:val="4A5568"/>
          <w:sz w:val="22"/>
          <w:szCs w:val="22"/>
        </w:rPr>
        <w:t xml:space="preserve">Analytics and financial reporting beyond same-day summary</w:t>
      </w:r>
    </w:p>
    <w:p>
      <w:pPr>
        <w:pStyle w:val="ListParagraph"/>
        <w:numPr>
          <w:ilvl w:val="0"/>
          <w:numId w:val="2"/>
        </w:numPr>
        <w:spacing w:after="60" w:before="60"/>
      </w:pPr>
      <w:r>
        <w:rPr>
          <w:rFonts w:ascii="Arial" w:cs="Arial" w:eastAsia="Arial" w:hAnsi="Arial"/>
          <w:color w:val="4A5568"/>
          <w:sz w:val="22"/>
          <w:szCs w:val="22"/>
        </w:rPr>
        <w:t xml:space="preserve">Demand forecasting, dead stock scoring</w:t>
      </w:r>
    </w:p>
    <w:p>
      <w:pPr>
        <w:pStyle w:val="ListParagraph"/>
        <w:numPr>
          <w:ilvl w:val="0"/>
          <w:numId w:val="2"/>
        </w:numPr>
        <w:spacing w:after="60" w:before="60"/>
      </w:pPr>
      <w:r>
        <w:rPr>
          <w:rFonts w:ascii="Arial" w:cs="Arial" w:eastAsia="Arial" w:hAnsi="Arial"/>
          <w:color w:val="4A5568"/>
          <w:sz w:val="22"/>
          <w:szCs w:val="22"/>
        </w:rPr>
        <w:t xml:space="preserve">Multi-user access, role-based permissions</w:t>
      </w:r>
    </w:p>
    <w:p>
      <w:pPr>
        <w:pStyle w:val="ListParagraph"/>
        <w:numPr>
          <w:ilvl w:val="0"/>
          <w:numId w:val="2"/>
        </w:numPr>
        <w:spacing w:after="60" w:before="60"/>
      </w:pPr>
      <w:r>
        <w:rPr>
          <w:rFonts w:ascii="Arial" w:cs="Arial" w:eastAsia="Arial" w:hAnsi="Arial"/>
          <w:color w:val="4A5568"/>
          <w:sz w:val="22"/>
          <w:szCs w:val="22"/>
        </w:rPr>
        <w:t xml:space="preserve">Wholesale module or B2B ordering</w:t>
      </w:r>
    </w:p>
    <w:p>
      <w:pPr>
        <w:pStyle w:val="ListParagraph"/>
        <w:numPr>
          <w:ilvl w:val="0"/>
          <w:numId w:val="2"/>
        </w:numPr>
        <w:spacing w:after="60" w:before="60"/>
      </w:pPr>
      <w:r>
        <w:rPr>
          <w:rFonts w:ascii="Arial" w:cs="Arial" w:eastAsia="Arial" w:hAnsi="Arial"/>
          <w:color w:val="4A5568"/>
          <w:sz w:val="22"/>
          <w:szCs w:val="22"/>
        </w:rPr>
        <w:t xml:space="preserve">Data export or API access</w:t>
      </w:r>
    </w:p>
    <w:p>
      <w:pPr>
        <w:spacing w:after="80" w:before="80"/>
      </w:pPr>
      <w:r>
        <w:rPr>
          <w:rFonts w:ascii="Arial" w:cs="Arial" w:eastAsia="Arial" w:hAnsi="Arial"/>
          <w:color w:val="4A5568"/>
          <w:sz w:val="22"/>
          <w:szCs w:val="22"/>
        </w:rPr>
        <w:t xml:space="preserve"/>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The Clinical Decision Support Suite is available to all paid tiers — ADDO, Basic, Standard, Premium. It is never gated behind Standard or Premium only. A Superintendent Pharmacist whose licence depends on clinical decisions will not risk that licence on an incomplete tool — and APOTEKH will not ask them to.</w:t>
      </w:r>
    </w:p>
    <w:p>
      <w:pPr>
        <w:pStyle w:val="Heading2"/>
        <w:spacing w:after="120" w:before="320"/>
      </w:pPr>
      <w:r>
        <w:rPr>
          <w:rFonts w:ascii="Arial" w:cs="Arial" w:eastAsia="Arial" w:hAnsi="Arial"/>
          <w:b/>
          <w:bCs/>
          <w:color w:val="0A2540"/>
          <w:sz w:val="26"/>
          <w:szCs w:val="26"/>
        </w:rPr>
        <w:t xml:space="preserve">What APOTEKH deliberately excludes</w:t>
      </w:r>
    </w:p>
    <w:p>
      <w:pPr>
        <w:pStyle w:val="ListParagraph"/>
        <w:numPr>
          <w:ilvl w:val="0"/>
          <w:numId w:val="2"/>
        </w:numPr>
        <w:spacing w:after="60" w:before="60"/>
      </w:pPr>
      <w:r>
        <w:rPr>
          <w:rFonts w:ascii="Arial" w:cs="Arial" w:eastAsia="Arial" w:hAnsi="Arial"/>
          <w:b/>
          <w:bCs/>
          <w:color w:val="0A2540"/>
          <w:sz w:val="22"/>
          <w:szCs w:val="22"/>
        </w:rPr>
        <w:t xml:space="preserve">NHIF integration: </w:t>
      </w:r>
      <w:r>
        <w:rPr>
          <w:rFonts w:ascii="Arial" w:cs="Arial" w:eastAsia="Arial" w:hAnsi="Arial"/>
          <w:color w:val="4A5568"/>
          <w:sz w:val="22"/>
          <w:szCs w:val="22"/>
        </w:rPr>
        <w:t xml:space="preserve">NHIF/UHI integration has been removed from the product roadmap. NHIF reimbursement rates fall below market purchase prices. Private pharmacies lose money per NHIF claim. This is a financial liability, not a feature. It will not be positioned as a benefit.</w:t>
      </w:r>
    </w:p>
    <w:p>
      <w:pPr>
        <w:pStyle w:val="ListParagraph"/>
        <w:numPr>
          <w:ilvl w:val="0"/>
          <w:numId w:val="2"/>
        </w:numPr>
        <w:spacing w:after="60" w:before="60"/>
      </w:pPr>
      <w:r>
        <w:rPr>
          <w:rFonts w:ascii="Arial" w:cs="Arial" w:eastAsia="Arial" w:hAnsi="Arial"/>
          <w:b/>
          <w:bCs/>
          <w:color w:val="0A2540"/>
          <w:sz w:val="22"/>
          <w:szCs w:val="22"/>
        </w:rPr>
        <w:t xml:space="preserve">EFDMS/VFD: </w:t>
      </w:r>
      <w:r>
        <w:rPr>
          <w:rFonts w:ascii="Arial" w:cs="Arial" w:eastAsia="Arial" w:hAnsi="Arial"/>
          <w:color w:val="4A5568"/>
          <w:sz w:val="22"/>
          <w:szCs w:val="22"/>
        </w:rPr>
        <w:t xml:space="preserve">EFDMS/VFD fiscal receipt integration is not led in sales conversations. Pharmacy owners are rationally concerned about TRA visibility into revenue. If surfaced at all, it is only after 60–90 days of established trust, and framed as legal protection (documented evidence against arbitrary TRA assessments), not compliance obligation.</w:t>
      </w:r>
    </w:p>
    <w:p>
      <w:pPr>
        <w:pStyle w:val="ListParagraph"/>
        <w:numPr>
          <w:ilvl w:val="0"/>
          <w:numId w:val="2"/>
        </w:numPr>
        <w:spacing w:after="60" w:before="60"/>
      </w:pPr>
      <w:r>
        <w:rPr>
          <w:rFonts w:ascii="Arial" w:cs="Arial" w:eastAsia="Arial" w:hAnsi="Arial"/>
          <w:b/>
          <w:bCs/>
          <w:color w:val="0A2540"/>
          <w:sz w:val="22"/>
          <w:szCs w:val="22"/>
        </w:rPr>
        <w:t xml:space="preserve">Patient data: </w:t>
      </w:r>
      <w:r>
        <w:rPr>
          <w:rFonts w:ascii="Arial" w:cs="Arial" w:eastAsia="Arial" w:hAnsi="Arial"/>
          <w:color w:val="4A5568"/>
          <w:sz w:val="22"/>
          <w:szCs w:val="22"/>
        </w:rPr>
        <w:t xml:space="preserve">Persistent patient data storage is deferred pending PDPC registration and MOH MOU. All current clinical tools are session-based only.</w:t>
      </w:r>
    </w:p>
    <w:p>
      <w:pPr>
        <w:pStyle w:val="Heading1"/>
        <w:pageBreakBefore/>
        <w:spacing w:after="160" w:before="480"/>
      </w:pPr>
      <w:r>
        <w:rPr>
          <w:rFonts w:ascii="Arial" w:cs="Arial" w:eastAsia="Arial" w:hAnsi="Arial"/>
          <w:b/>
          <w:bCs/>
          <w:color w:val="0A2540"/>
          <w:sz w:val="36"/>
          <w:szCs w:val="36"/>
        </w:rPr>
        <w:t xml:space="preserve">4. Go-to-Market Strategy</w:t>
      </w:r>
    </w:p>
    <w:p>
      <w:pPr>
        <w:pStyle w:val="Heading2"/>
        <w:spacing w:after="120" w:before="320"/>
      </w:pPr>
      <w:r>
        <w:rPr>
          <w:rFonts w:ascii="Arial" w:cs="Arial" w:eastAsia="Arial" w:hAnsi="Arial"/>
          <w:b/>
          <w:bCs/>
          <w:color w:val="0A2540"/>
          <w:sz w:val="26"/>
          <w:szCs w:val="26"/>
        </w:rPr>
        <w:t xml:space="preserve">The sales conversation — lead with visibility, not compliance</w:t>
      </w:r>
    </w:p>
    <w:p>
      <w:pPr>
        <w:spacing w:after="80" w:before="80"/>
      </w:pPr>
      <w:r>
        <w:rPr>
          <w:rFonts w:ascii="Arial" w:cs="Arial" w:eastAsia="Arial" w:hAnsi="Arial"/>
          <w:color w:val="4A5568"/>
          <w:sz w:val="22"/>
          <w:szCs w:val="22"/>
        </w:rPr>
        <w:t xml:space="preserve">Compliance fear is a weak motivator in Tanzania because PC and TMDA enforcement is genuinely lax. The sales conversation opens with owner-facing value, in this order:</w:t>
      </w:r>
    </w:p>
    <w:p>
      <w:pPr>
        <w:pStyle w:val="ListParagraph"/>
        <w:numPr>
          <w:ilvl w:val="0"/>
          <w:numId w:val="2"/>
        </w:numPr>
        <w:spacing w:after="60" w:before="60"/>
      </w:pPr>
      <w:r>
        <w:rPr>
          <w:rFonts w:ascii="Arial" w:cs="Arial" w:eastAsia="Arial" w:hAnsi="Arial"/>
          <w:color w:val="4A5568"/>
          <w:sz w:val="22"/>
          <w:szCs w:val="22"/>
        </w:rPr>
        <w:t xml:space="preserve">Remote dashboard. Every pharmacy owner who is not physically present at every hour lives with the fear that something is wrong in the shop and they do not know it. 'You can see everything happening in your pharmacy from your phone, right now, wherever you are.' That sentence opens the door.</w:t>
      </w:r>
    </w:p>
    <w:p>
      <w:pPr>
        <w:pStyle w:val="ListParagraph"/>
        <w:numPr>
          <w:ilvl w:val="0"/>
          <w:numId w:val="2"/>
        </w:numPr>
        <w:spacing w:after="60" w:before="60"/>
      </w:pPr>
      <w:r>
        <w:rPr>
          <w:rFonts w:ascii="Arial" w:cs="Arial" w:eastAsia="Arial" w:hAnsi="Arial"/>
          <w:color w:val="4A5568"/>
          <w:sz w:val="22"/>
          <w:szCs w:val="22"/>
        </w:rPr>
        <w:t xml:space="preserve">Offline capability. Tanzania has load shedding, poor rural connectivity, and patchy mobile data. 'Works without internet' is the answer to a fear they have every single day.</w:t>
      </w:r>
    </w:p>
    <w:p>
      <w:pPr>
        <w:pStyle w:val="ListParagraph"/>
        <w:numPr>
          <w:ilvl w:val="0"/>
          <w:numId w:val="2"/>
        </w:numPr>
        <w:spacing w:after="60" w:before="60"/>
      </w:pPr>
      <w:r>
        <w:rPr>
          <w:rFonts w:ascii="Arial" w:cs="Arial" w:eastAsia="Arial" w:hAnsi="Arial"/>
          <w:color w:val="4A5568"/>
          <w:sz w:val="22"/>
          <w:szCs w:val="22"/>
        </w:rPr>
        <w:t xml:space="preserve">Barcode scanning. Signals operational seriousness — not technology for its own sake. Positioned as speed and accuracy at the dispensing counter.</w:t>
      </w:r>
    </w:p>
    <w:p>
      <w:pPr>
        <w:pStyle w:val="ListParagraph"/>
        <w:numPr>
          <w:ilvl w:val="0"/>
          <w:numId w:val="2"/>
        </w:numPr>
        <w:spacing w:after="60" w:before="60"/>
      </w:pPr>
      <w:r>
        <w:rPr>
          <w:rFonts w:ascii="Arial" w:cs="Arial" w:eastAsia="Arial" w:hAnsi="Arial"/>
          <w:color w:val="4A5568"/>
          <w:sz w:val="22"/>
          <w:szCs w:val="22"/>
        </w:rPr>
        <w:t xml:space="preserve">B2B and credit access. Wholesale ordering directly through the system, and eventually stock financing. These make the owner feel the platform is taking them somewhere, not just managing where they are.</w:t>
      </w:r>
    </w:p>
    <w:p>
      <w:pPr>
        <w:pStyle w:val="ListParagraph"/>
        <w:numPr>
          <w:ilvl w:val="0"/>
          <w:numId w:val="2"/>
        </w:numPr>
        <w:spacing w:after="60" w:before="60"/>
      </w:pPr>
      <w:r>
        <w:rPr>
          <w:rFonts w:ascii="Arial" w:cs="Arial" w:eastAsia="Arial" w:hAnsi="Arial"/>
          <w:color w:val="4A5568"/>
          <w:sz w:val="22"/>
          <w:szCs w:val="22"/>
        </w:rPr>
        <w:t xml:space="preserve">Patient safety. For a Superintendent Pharmacist whose licence is on the line, this matters enormously. For an ADDO operator, it protects against dispensing errors that could close their outlet.</w:t>
      </w:r>
    </w:p>
    <w:p>
      <w:pPr>
        <w:spacing w:after="80" w:before="80"/>
      </w:pPr>
      <w:r>
        <w:rPr>
          <w:rFonts w:ascii="Arial" w:cs="Arial" w:eastAsia="Arial" w:hAnsi="Arial"/>
          <w:color w:val="4A5568"/>
          <w:sz w:val="22"/>
          <w:szCs w:val="22"/>
        </w:rPr>
        <w:t xml:space="preserve">EFDMS runs silently. Surface it only after 60–90 days of trust. Never lead with it.</w:t>
      </w:r>
    </w:p>
    <w:p>
      <w:pPr>
        <w:spacing w:after="80" w:before="80"/>
      </w:pPr>
      <w:r>
        <w:rPr>
          <w:rFonts w:ascii="Arial" w:cs="Arial" w:eastAsia="Arial" w:hAnsi="Arial"/>
          <w:color w:val="4A5568"/>
          <w:sz w:val="22"/>
          <w:szCs w:val="22"/>
        </w:rPr>
        <w:t xml:space="preserve">CPD is a Phase 1–2 feature, not a lead pitch. It benefits the pharmacist, not necessarily the owner who pays. Layer CPD after the tool is embedded.</w:t>
      </w:r>
    </w:p>
    <w:p>
      <w:pPr>
        <w:pStyle w:val="Heading2"/>
        <w:spacing w:after="120" w:before="320"/>
      </w:pPr>
      <w:r>
        <w:rPr>
          <w:rFonts w:ascii="Arial" w:cs="Arial" w:eastAsia="Arial" w:hAnsi="Arial"/>
          <w:b/>
          <w:bCs/>
          <w:color w:val="0A2540"/>
          <w:sz w:val="26"/>
          <w:szCs w:val="26"/>
        </w:rPr>
        <w:t xml:space="preserve">Sales channels and tactics</w:t>
      </w:r>
    </w:p>
    <w:p>
      <w:pPr>
        <w:pStyle w:val="ListParagraph"/>
        <w:numPr>
          <w:ilvl w:val="0"/>
          <w:numId w:val="2"/>
        </w:numPr>
        <w:spacing w:after="60" w:before="60"/>
      </w:pPr>
      <w:r>
        <w:rPr>
          <w:rFonts w:ascii="Arial" w:cs="Arial" w:eastAsia="Arial" w:hAnsi="Arial"/>
          <w:color w:val="4A5568"/>
          <w:sz w:val="22"/>
          <w:szCs w:val="22"/>
        </w:rPr>
        <w:t xml:space="preserve">Walk-ins to pharmacy owners — direct approach, relationship-first</w:t>
      </w:r>
    </w:p>
    <w:p>
      <w:pPr>
        <w:pStyle w:val="ListParagraph"/>
        <w:numPr>
          <w:ilvl w:val="0"/>
          <w:numId w:val="2"/>
        </w:numPr>
        <w:spacing w:after="60" w:before="60"/>
      </w:pPr>
      <w:r>
        <w:rPr>
          <w:rFonts w:ascii="Arial" w:cs="Arial" w:eastAsia="Arial" w:hAnsi="Arial"/>
          <w:color w:val="4A5568"/>
          <w:sz w:val="22"/>
          <w:szCs w:val="22"/>
        </w:rPr>
        <w:t xml:space="preserve">Wholesale counter introductions — catching pharmacy owners when they come to restock</w:t>
      </w:r>
    </w:p>
    <w:p>
      <w:pPr>
        <w:pStyle w:val="ListParagraph"/>
        <w:numPr>
          <w:ilvl w:val="0"/>
          <w:numId w:val="2"/>
        </w:numPr>
        <w:spacing w:after="60" w:before="60"/>
      </w:pPr>
      <w:r>
        <w:rPr>
          <w:rFonts w:ascii="Arial" w:cs="Arial" w:eastAsia="Arial" w:hAnsi="Arial"/>
          <w:color w:val="4A5568"/>
          <w:sz w:val="22"/>
          <w:szCs w:val="22"/>
        </w:rPr>
        <w:t xml:space="preserve">PST chapter appearances — Pharmaceutical Society of Tanzania meetings and CPD events</w:t>
      </w:r>
    </w:p>
    <w:p>
      <w:pPr>
        <w:pStyle w:val="ListParagraph"/>
        <w:numPr>
          <w:ilvl w:val="0"/>
          <w:numId w:val="2"/>
        </w:numPr>
        <w:spacing w:after="60" w:before="60"/>
      </w:pPr>
      <w:r>
        <w:rPr>
          <w:rFonts w:ascii="Arial" w:cs="Arial" w:eastAsia="Arial" w:hAnsi="Arial"/>
          <w:color w:val="4A5568"/>
          <w:sz w:val="22"/>
          <w:szCs w:val="22"/>
        </w:rPr>
        <w:t xml:space="preserve">Pharmacy Council introductions — leveraging regulatory relationships</w:t>
      </w:r>
    </w:p>
    <w:p>
      <w:pPr>
        <w:pStyle w:val="ListParagraph"/>
        <w:numPr>
          <w:ilvl w:val="0"/>
          <w:numId w:val="2"/>
        </w:numPr>
        <w:spacing w:after="60" w:before="60"/>
      </w:pPr>
      <w:r>
        <w:rPr>
          <w:rFonts w:ascii="Arial" w:cs="Arial" w:eastAsia="Arial" w:hAnsi="Arial"/>
          <w:color w:val="4A5568"/>
          <w:sz w:val="22"/>
          <w:szCs w:val="22"/>
        </w:rPr>
        <w:t xml:space="preserve">WhatsApp outreach: only with a real referral name. Cold WhatsApp does not work in this market.</w:t>
      </w:r>
    </w:p>
    <w:p>
      <w:pPr>
        <w:pStyle w:val="ListParagraph"/>
        <w:numPr>
          <w:ilvl w:val="0"/>
          <w:numId w:val="2"/>
        </w:numPr>
        <w:spacing w:after="60" w:before="60"/>
      </w:pPr>
      <w:r>
        <w:rPr>
          <w:rFonts w:ascii="Arial" w:cs="Arial" w:eastAsia="Arial" w:hAnsi="Arial"/>
          <w:color w:val="4A5568"/>
          <w:sz w:val="22"/>
          <w:szCs w:val="22"/>
        </w:rPr>
        <w:t xml:space="preserve">48-hour follow-up visit after initial contact — demonstrates seriousness and competence</w:t>
      </w:r>
    </w:p>
    <w:p>
      <w:pPr>
        <w:spacing w:after="80" w:before="80"/>
      </w:pPr>
      <w:r>
        <w:rPr>
          <w:rFonts w:ascii="Arial" w:cs="Arial" w:eastAsia="Arial" w:hAnsi="Arial"/>
          <w:color w:val="4A5568"/>
          <w:sz w:val="22"/>
          <w:szCs w:val="22"/>
        </w:rPr>
        <w:t xml:space="preserve"/>
      </w:r>
    </w:p>
    <w:p>
      <w:pPr>
        <w:pStyle w:val="Heading2"/>
        <w:spacing w:after="120" w:before="320"/>
      </w:pPr>
      <w:r>
        <w:rPr>
          <w:rFonts w:ascii="Arial" w:cs="Arial" w:eastAsia="Arial" w:hAnsi="Arial"/>
          <w:b/>
          <w:bCs/>
          <w:color w:val="0A2540"/>
          <w:sz w:val="26"/>
          <w:szCs w:val="26"/>
        </w:rPr>
        <w:t xml:space="preserve">The critical milestone</w:t>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10 paying pharmacies using APOTEKH for 60 consecutive days. This is the single milestone that unlocks: the Mbwana Alliy investor conversation, board recruitment conversations, PST partnership discussions. Not before. 70%+ monthly retention must be demonstrated before any strategic pillar is credible.</w:t>
      </w:r>
    </w:p>
    <w:p>
      <w:pPr>
        <w:spacing w:after="80" w:before="80"/>
      </w:pPr>
      <w:r>
        <w:rPr>
          <w:rFonts w:ascii="Arial" w:cs="Arial" w:eastAsia="Arial" w:hAnsi="Arial"/>
          <w:color w:val="4A5568"/>
          <w:sz w:val="22"/>
          <w:szCs w:val="22"/>
        </w:rPr>
        <w:t xml:space="preserve">First 10 pharmacies at Standard = TZS 550,000/month recurring. This covers operating costs and validates the commercial model.</w:t>
      </w:r>
    </w:p>
    <w:p>
      <w:pPr>
        <w:pStyle w:val="Heading2"/>
        <w:spacing w:after="120" w:before="320"/>
      </w:pPr>
      <w:r>
        <w:rPr>
          <w:rFonts w:ascii="Arial" w:cs="Arial" w:eastAsia="Arial" w:hAnsi="Arial"/>
          <w:b/>
          <w:bCs/>
          <w:color w:val="0A2540"/>
          <w:sz w:val="26"/>
          <w:szCs w:val="26"/>
        </w:rPr>
        <w:t xml:space="preserve">Geographic approach — open, not region-locked</w:t>
      </w:r>
    </w:p>
    <w:p>
      <w:pPr>
        <w:spacing w:after="80" w:before="80"/>
      </w:pPr>
      <w:r>
        <w:rPr>
          <w:rFonts w:ascii="Arial" w:cs="Arial" w:eastAsia="Arial" w:hAnsi="Arial"/>
          <w:color w:val="4A5568"/>
          <w:sz w:val="22"/>
          <w:szCs w:val="22"/>
        </w:rPr>
        <w:t xml:space="preserve">APOTEKH is not restricted to any single region. The platform is available to any pharmacy in Tanzania — or beyond — that finds it and wants to use it. Direct sales effort in Phase 1 is concentrated in Dodoma because that is where founder relationships and personal introductions are strongest. But the product can be signed up and used by anyone, from any region, from day one.</w:t>
      </w:r>
    </w:p>
    <w:p>
      <w:pPr>
        <w:spacing w:after="80" w:before="80"/>
      </w:pPr>
      <w:r>
        <w:rPr>
          <w:rFonts w:ascii="Arial" w:cs="Arial" w:eastAsia="Arial" w:hAnsi="Arial"/>
          <w:color w:val="4A5568"/>
          <w:sz w:val="22"/>
          <w:szCs w:val="22"/>
        </w:rPr>
        <w:t xml:space="preserve">This means the first 10 paying pharmacies may not all be in Dodoma. If a pharmacy in Arusha, Dar es Salaam, or Mwanza self-selects and converts — that is a signal, not a problem. Direct sales effort stays where conversion rates are highest. The product door stays open everywhere.</w:t>
      </w:r>
    </w:p>
    <w:p>
      <w:pPr>
        <w:pStyle w:val="Heading2"/>
        <w:spacing w:after="120" w:before="320"/>
      </w:pPr>
      <w:r>
        <w:rPr>
          <w:rFonts w:ascii="Arial" w:cs="Arial" w:eastAsia="Arial" w:hAnsi="Arial"/>
          <w:b/>
          <w:bCs/>
          <w:color w:val="0A2540"/>
          <w:sz w:val="26"/>
          <w:szCs w:val="26"/>
        </w:rPr>
        <w:t xml:space="preserve">Early adopter sequencing principle</w:t>
      </w:r>
    </w:p>
    <w:p>
      <w:pPr>
        <w:spacing w:after="80" w:before="80"/>
      </w:pPr>
      <w:r>
        <w:rPr>
          <w:rFonts w:ascii="Arial" w:cs="Arial" w:eastAsia="Arial" w:hAnsi="Arial"/>
          <w:color w:val="4A5568"/>
          <w:sz w:val="22"/>
          <w:szCs w:val="22"/>
        </w:rPr>
        <w:t xml:space="preserve">The target is not the average pharmacy owner — it is the early adopter who already sees the value and will pay from day one. Skeptics are the marketing target once 50 paying pharmacies demonstrate results. Do not spend strategy energy convincing the unconvinced before having evidence from believers.</w:t>
      </w:r>
    </w:p>
    <w:p>
      <w:pPr>
        <w:spacing w:after="80" w:before="80"/>
      </w:pPr>
      <w:r>
        <w:rPr>
          <w:rFonts w:ascii="Arial" w:cs="Arial" w:eastAsia="Arial" w:hAnsi="Arial"/>
          <w:color w:val="4A5568"/>
          <w:sz w:val="22"/>
          <w:szCs w:val="22"/>
        </w:rPr>
        <w:t xml:space="preserve">Highest-need pharmacies are often least able to pay. Actively manage this in pilot sequencing. Inverted monetization risk must be a deliberate decision, not an accident.</w:t>
      </w:r>
    </w:p>
    <w:p>
      <w:pPr>
        <w:pStyle w:val="Heading1"/>
        <w:pageBreakBefore/>
        <w:spacing w:after="160" w:before="480"/>
      </w:pPr>
      <w:r>
        <w:rPr>
          <w:rFonts w:ascii="Arial" w:cs="Arial" w:eastAsia="Arial" w:hAnsi="Arial"/>
          <w:b/>
          <w:bCs/>
          <w:color w:val="0A2540"/>
          <w:sz w:val="36"/>
          <w:szCs w:val="36"/>
        </w:rPr>
        <w:t xml:space="preserve">5. Competitive Landscape</w:t>
      </w:r>
    </w:p>
    <w:p>
      <w:pPr>
        <w:spacing w:after="80" w:before="80"/>
      </w:pPr>
      <w:r>
        <w:rPr>
          <w:rFonts w:ascii="Arial" w:cs="Arial" w:eastAsia="Arial" w:hAnsi="Arial"/>
          <w:color w:val="4A5568"/>
          <w:sz w:val="22"/>
          <w:szCs w:val="22"/>
        </w:rPr>
        <w:t xml:space="preserve">No current player combines offline-first pharmacy OS + clinical safety + TMDA compliance + data monetization potential in Tanzania. This is the white space APOTEKH occupies.</w:t>
      </w:r>
    </w:p>
    <w:p>
      <w:pPr>
        <w:pStyle w:val="Heading2"/>
        <w:spacing w:after="120" w:before="320"/>
      </w:pPr>
      <w:r>
        <w:rPr>
          <w:rFonts w:ascii="Arial" w:cs="Arial" w:eastAsia="Arial" w:hAnsi="Arial"/>
          <w:b/>
          <w:bCs/>
          <w:color w:val="0A2540"/>
          <w:sz w:val="26"/>
          <w:szCs w:val="26"/>
        </w:rPr>
        <w:t xml:space="preserve">Direct competitors</w:t>
      </w:r>
    </w:p>
    <w:p>
      <w:pPr>
        <w:pStyle w:val="Heading3"/>
        <w:spacing w:after="80" w:before="240"/>
      </w:pPr>
      <w:r>
        <w:rPr>
          <w:rFonts w:ascii="Arial" w:cs="Arial" w:eastAsia="Arial" w:hAnsi="Arial"/>
          <w:b/>
          <w:bCs/>
          <w:color w:val="00A878"/>
          <w:sz w:val="22"/>
          <w:szCs w:val="22"/>
        </w:rPr>
        <w:t xml:space="preserve">DukaDawa (Afya Intelligence Ltd)</w:t>
      </w:r>
    </w:p>
    <w:p>
      <w:pPr>
        <w:spacing w:after="80" w:before="80"/>
      </w:pPr>
      <w:r>
        <w:rPr>
          <w:rFonts w:ascii="Arial" w:cs="Arial" w:eastAsia="Arial" w:hAnsi="Arial"/>
          <w:color w:val="4A5568"/>
          <w:sz w:val="22"/>
          <w:szCs w:val="22"/>
        </w:rPr>
        <w:t xml:space="preserve">Primary direct competitor. POS and inventory focus. No clinical safety features, no AWaRe classification, no drug interaction checking, no compliance infrastructure. Priced at approximately TZS 49,000/month at Standard. Do not use partnership or comparison framing with DukaDawa — differentiate on clinical and compliance ground, not price.</w:t>
      </w:r>
    </w:p>
    <w:p>
      <w:pPr>
        <w:pStyle w:val="Heading3"/>
        <w:spacing w:after="80" w:before="240"/>
      </w:pPr>
      <w:r>
        <w:rPr>
          <w:rFonts w:ascii="Arial" w:cs="Arial" w:eastAsia="Arial" w:hAnsi="Arial"/>
          <w:b/>
          <w:bCs/>
          <w:color w:val="00A878"/>
          <w:sz w:val="22"/>
          <w:szCs w:val="22"/>
        </w:rPr>
        <w:t xml:space="preserve">Maisha Meds (Kenya/Tanzania)</w:t>
      </w:r>
    </w:p>
    <w:p>
      <w:pPr>
        <w:spacing w:after="80" w:before="80"/>
      </w:pPr>
      <w:r>
        <w:rPr>
          <w:rFonts w:ascii="Arial" w:cs="Arial" w:eastAsia="Arial" w:hAnsi="Arial"/>
          <w:color w:val="4A5568"/>
          <w:sz w:val="22"/>
          <w:szCs w:val="22"/>
        </w:rPr>
        <w:t xml:space="preserve">Formerly the most relevant comparable: free POS software to 4,600+ facilities via USAID funding. USAID funding is now structurally at risk following the 2025 shutdown. Pharmacies enrolled in Maisha Meds that are digitally habituated but facing tool uncertainty are the highest-priority conversion targets. They are already conditioned to a digital workflow. APOTEKH’s freemium tier is the direct answer to this conversion opportunity.</w:t>
      </w:r>
    </w:p>
    <w:p>
      <w:pPr>
        <w:spacing w:after="80" w:before="80"/>
      </w:pPr>
      <w:r>
        <w:rPr>
          <w:rFonts w:ascii="Arial" w:cs="Arial" w:eastAsia="Arial" w:hAnsi="Arial"/>
          <w:color w:val="4A5568"/>
          <w:sz w:val="22"/>
          <w:szCs w:val="22"/>
        </w:rPr>
        <w:t xml:space="preserve">Lesson from Maisha Meds: their POS-as-trojan-horse model is validated — join for the business tool, stay for clinical and health programmes. Their structural risk of USAID dependency confirms APOTEKH’s commercial platform model as the right architecture.</w:t>
      </w:r>
    </w:p>
    <w:p>
      <w:pPr>
        <w:pStyle w:val="Heading3"/>
        <w:spacing w:after="80" w:before="240"/>
      </w:pPr>
      <w:r>
        <w:rPr>
          <w:rFonts w:ascii="Arial" w:cs="Arial" w:eastAsia="Arial" w:hAnsi="Arial"/>
          <w:b/>
          <w:bCs/>
          <w:color w:val="00A878"/>
          <w:sz w:val="22"/>
          <w:szCs w:val="22"/>
        </w:rPr>
        <w:t xml:space="preserve">Dawa Mkononi</w:t>
      </w:r>
    </w:p>
    <w:p>
      <w:pPr>
        <w:spacing w:after="80" w:before="80"/>
      </w:pPr>
      <w:r>
        <w:rPr>
          <w:rFonts w:ascii="Arial" w:cs="Arial" w:eastAsia="Arial" w:hAnsi="Arial"/>
          <w:color w:val="4A5568"/>
          <w:sz w:val="22"/>
          <w:szCs w:val="22"/>
        </w:rPr>
        <w:t xml:space="preserve">B2B supply chain layer only, approximately $260K raised. Their partnership with Maisha Meds signals consolidation at the supply chain layer. They are complementary, not directly competitive. APOTEKH’s closed B2B wholesale network differentiates on integration: ordering is embedded in the OS, not a separate tool.</w:t>
      </w:r>
    </w:p>
    <w:p>
      <w:pPr>
        <w:pStyle w:val="Heading3"/>
        <w:spacing w:after="80" w:before="240"/>
      </w:pPr>
      <w:r>
        <w:rPr>
          <w:rFonts w:ascii="Arial" w:cs="Arial" w:eastAsia="Arial" w:hAnsi="Arial"/>
          <w:b/>
          <w:bCs/>
          <w:color w:val="00A878"/>
          <w:sz w:val="22"/>
          <w:szCs w:val="22"/>
        </w:rPr>
        <w:t xml:space="preserve">mPharma (Ghana)</w:t>
      </w:r>
    </w:p>
    <w:p>
      <w:pPr>
        <w:spacing w:after="80" w:before="80"/>
      </w:pPr>
      <w:r>
        <w:rPr>
          <w:rFonts w:ascii="Arial" w:cs="Arial" w:eastAsia="Arial" w:hAnsi="Arial"/>
          <w:color w:val="4A5568"/>
          <w:sz w:val="22"/>
          <w:szCs w:val="22"/>
        </w:rPr>
        <w:t xml:space="preserve">$95.3M raised, 9 countries. Does not operate in Tanzania. Most likely acquirer at Series B+. Does not touch dispensing OS or clinical safety — procurement network only.</w:t>
      </w:r>
    </w:p>
    <w:p>
      <w:pPr>
        <w:pStyle w:val="Heading2"/>
        <w:spacing w:after="120" w:before="320"/>
      </w:pPr>
      <w:r>
        <w:rPr>
          <w:rFonts w:ascii="Arial" w:cs="Arial" w:eastAsia="Arial" w:hAnsi="Arial"/>
          <w:b/>
          <w:bCs/>
          <w:color w:val="0A2540"/>
          <w:sz w:val="26"/>
          <w:szCs w:val="26"/>
        </w:rPr>
        <w:t xml:space="preserve">Structural competitive advantages</w:t>
      </w:r>
    </w:p>
    <w:p>
      <w:pPr>
        <w:pStyle w:val="ListParagraph"/>
        <w:numPr>
          <w:ilvl w:val="0"/>
          <w:numId w:val="2"/>
        </w:numPr>
        <w:spacing w:after="60" w:before="60"/>
      </w:pPr>
      <w:r>
        <w:rPr>
          <w:rFonts w:ascii="Arial" w:cs="Arial" w:eastAsia="Arial" w:hAnsi="Arial"/>
          <w:color w:val="4A5568"/>
          <w:sz w:val="22"/>
          <w:szCs w:val="22"/>
        </w:rPr>
        <w:t xml:space="preserve">Regulatory DNA. TMDA, NHIF-aware, NEMLIT AWaRe, GSDP cold chain — embedded from day one, not retrofitted. No competitor can replicate this without rebuilding from the regulatory layer up.</w:t>
      </w:r>
    </w:p>
    <w:p>
      <w:pPr>
        <w:pStyle w:val="ListParagraph"/>
        <w:numPr>
          <w:ilvl w:val="0"/>
          <w:numId w:val="2"/>
        </w:numPr>
        <w:spacing w:after="60" w:before="60"/>
      </w:pPr>
      <w:r>
        <w:rPr>
          <w:rFonts w:ascii="Arial" w:cs="Arial" w:eastAsia="Arial" w:hAnsi="Arial"/>
          <w:color w:val="4A5568"/>
          <w:sz w:val="22"/>
          <w:szCs w:val="22"/>
        </w:rPr>
        <w:t xml:space="preserve">Clinical credibility. A Superintendent Pharmacist whose licence depends on clinical decisions will not risk that licence on a system they do not trust. This loyalty is not transferable to a competitor.</w:t>
      </w:r>
    </w:p>
    <w:p>
      <w:pPr>
        <w:pStyle w:val="ListParagraph"/>
        <w:numPr>
          <w:ilvl w:val="0"/>
          <w:numId w:val="2"/>
        </w:numPr>
        <w:spacing w:after="60" w:before="60"/>
      </w:pPr>
      <w:r>
        <w:rPr>
          <w:rFonts w:ascii="Arial" w:cs="Arial" w:eastAsia="Arial" w:hAnsi="Arial"/>
          <w:color w:val="4A5568"/>
          <w:sz w:val="22"/>
          <w:szCs w:val="22"/>
        </w:rPr>
        <w:t xml:space="preserve">Offline-first. Designed for Tanzania’s connectivity environment, not adapted for it.</w:t>
      </w:r>
    </w:p>
    <w:p>
      <w:pPr>
        <w:pStyle w:val="ListParagraph"/>
        <w:numPr>
          <w:ilvl w:val="0"/>
          <w:numId w:val="2"/>
        </w:numPr>
        <w:spacing w:after="60" w:before="60"/>
      </w:pPr>
      <w:r>
        <w:rPr>
          <w:rFonts w:ascii="Arial" w:cs="Arial" w:eastAsia="Arial" w:hAnsi="Arial"/>
          <w:color w:val="4A5568"/>
          <w:sz w:val="22"/>
          <w:szCs w:val="22"/>
        </w:rPr>
        <w:t xml:space="preserve">Wholesale network effects. Every retail pharmacy on APOTEKH is a node in the wholesale network. As the network grows, switching cost rises and network value compounds.</w:t>
      </w:r>
    </w:p>
    <w:p>
      <w:pPr>
        <w:pStyle w:val="ListParagraph"/>
        <w:numPr>
          <w:ilvl w:val="0"/>
          <w:numId w:val="2"/>
        </w:numPr>
        <w:spacing w:after="60" w:before="60"/>
      </w:pPr>
      <w:r>
        <w:rPr>
          <w:rFonts w:ascii="Arial" w:cs="Arial" w:eastAsia="Arial" w:hAnsi="Arial"/>
          <w:color w:val="4A5568"/>
          <w:sz w:val="22"/>
          <w:szCs w:val="22"/>
        </w:rPr>
        <w:t xml:space="preserve">Tanzania-native economics. TZS pricing, Tanzanian drug formulary, ADDO tier system, local supplier network — built in, not bolted on.</w:t>
      </w:r>
    </w:p>
    <w:p>
      <w:pPr>
        <w:pStyle w:val="ListParagraph"/>
        <w:numPr>
          <w:ilvl w:val="0"/>
          <w:numId w:val="2"/>
        </w:numPr>
        <w:spacing w:after="60" w:before="60"/>
      </w:pPr>
      <w:r>
        <w:rPr>
          <w:rFonts w:ascii="Arial" w:cs="Arial" w:eastAsia="Arial" w:hAnsi="Arial"/>
          <w:color w:val="4A5568"/>
          <w:sz w:val="22"/>
          <w:szCs w:val="22"/>
        </w:rPr>
        <w:t xml:space="preserve">Already built. The dispensing engine, wholesale module, clinical safety layer, and analytics are live and deployed. Funding scales what works.</w:t>
      </w:r>
    </w:p>
    <w:p>
      <w:pPr>
        <w:pStyle w:val="Heading1"/>
        <w:pageBreakBefore/>
        <w:spacing w:after="160" w:before="480"/>
      </w:pPr>
      <w:r>
        <w:rPr>
          <w:rFonts w:ascii="Arial" w:cs="Arial" w:eastAsia="Arial" w:hAnsi="Arial"/>
          <w:b/>
          <w:bCs/>
          <w:color w:val="0A2540"/>
          <w:sz w:val="36"/>
          <w:szCs w:val="36"/>
        </w:rPr>
        <w:t xml:space="preserve">6. Product Roadmap</w:t>
      </w:r>
    </w:p>
    <w:p>
      <w:pPr>
        <w:pStyle w:val="Heading2"/>
        <w:spacing w:after="120" w:before="320"/>
      </w:pPr>
      <w:r>
        <w:rPr>
          <w:rFonts w:ascii="Arial" w:cs="Arial" w:eastAsia="Arial" w:hAnsi="Arial"/>
          <w:b/>
          <w:bCs/>
          <w:color w:val="0A2540"/>
          <w:sz w:val="26"/>
          <w:szCs w:val="26"/>
        </w:rPr>
        <w:t xml:space="preserve">Current build status — live and deployed</w:t>
      </w:r>
    </w:p>
    <w:p>
      <w:pPr>
        <w:pStyle w:val="ListParagraph"/>
        <w:numPr>
          <w:ilvl w:val="0"/>
          <w:numId w:val="2"/>
        </w:numPr>
        <w:spacing w:after="60" w:before="60"/>
      </w:pPr>
      <w:r>
        <w:rPr>
          <w:rFonts w:ascii="Arial" w:cs="Arial" w:eastAsia="Arial" w:hAnsi="Arial"/>
          <w:color w:val="4A5568"/>
          <w:sz w:val="22"/>
          <w:szCs w:val="22"/>
        </w:rPr>
        <w:t xml:space="preserve">Offline-first dispensing with Superintendent PIN authorization for controlled substances</w:t>
      </w:r>
    </w:p>
    <w:p>
      <w:pPr>
        <w:pStyle w:val="ListParagraph"/>
        <w:numPr>
          <w:ilvl w:val="0"/>
          <w:numId w:val="2"/>
        </w:numPr>
        <w:spacing w:after="60" w:before="60"/>
      </w:pPr>
      <w:r>
        <w:rPr>
          <w:rFonts w:ascii="Arial" w:cs="Arial" w:eastAsia="Arial" w:hAnsi="Arial"/>
          <w:color w:val="4A5568"/>
          <w:sz w:val="22"/>
          <w:szCs w:val="22"/>
        </w:rPr>
        <w:t xml:space="preserve">Drug interaction checker (4 severity levels with Superintendent PIN escalation for MAJOR interactions)</w:t>
      </w:r>
    </w:p>
    <w:p>
      <w:pPr>
        <w:pStyle w:val="ListParagraph"/>
        <w:numPr>
          <w:ilvl w:val="0"/>
          <w:numId w:val="2"/>
        </w:numPr>
        <w:spacing w:after="60" w:before="60"/>
      </w:pPr>
      <w:r>
        <w:rPr>
          <w:rFonts w:ascii="Arial" w:cs="Arial" w:eastAsia="Arial" w:hAnsi="Arial"/>
          <w:color w:val="4A5568"/>
          <w:sz w:val="22"/>
          <w:szCs w:val="22"/>
        </w:rPr>
        <w:t xml:space="preserve">Alternative drug suggestions — shown automatically in two scenarios: (1) out-of-stock during dispensing search, (2) drug interaction or contraindication flagged by PatientSafetyPanel</w:t>
      </w:r>
    </w:p>
    <w:p>
      <w:pPr>
        <w:pStyle w:val="ListParagraph"/>
        <w:numPr>
          <w:ilvl w:val="0"/>
          <w:numId w:val="2"/>
        </w:numPr>
        <w:spacing w:after="60" w:before="60"/>
      </w:pPr>
      <w:r>
        <w:rPr>
          <w:rFonts w:ascii="Arial" w:cs="Arial" w:eastAsia="Arial" w:hAnsi="Arial"/>
          <w:color w:val="4A5568"/>
          <w:sz w:val="22"/>
          <w:szCs w:val="22"/>
        </w:rPr>
        <w:t xml:space="preserve">AWaRe antibiotic classification (NEMLIT 2021) with WATCH/RESERVE badges</w:t>
      </w:r>
    </w:p>
    <w:p>
      <w:pPr>
        <w:pStyle w:val="ListParagraph"/>
        <w:numPr>
          <w:ilvl w:val="0"/>
          <w:numId w:val="2"/>
        </w:numPr>
        <w:spacing w:after="60" w:before="60"/>
      </w:pPr>
      <w:r>
        <w:rPr>
          <w:rFonts w:ascii="Arial" w:cs="Arial" w:eastAsia="Arial" w:hAnsi="Arial"/>
          <w:color w:val="4A5568"/>
          <w:sz w:val="22"/>
          <w:szCs w:val="22"/>
        </w:rPr>
        <w:t xml:space="preserve">FEFO batch inventory management with expiry tracking and barcode scanning</w:t>
      </w:r>
    </w:p>
    <w:p>
      <w:pPr>
        <w:pStyle w:val="ListParagraph"/>
        <w:numPr>
          <w:ilvl w:val="0"/>
          <w:numId w:val="2"/>
        </w:numPr>
        <w:spacing w:after="60" w:before="60"/>
      </w:pPr>
      <w:r>
        <w:rPr>
          <w:rFonts w:ascii="Arial" w:cs="Arial" w:eastAsia="Arial" w:hAnsi="Arial"/>
          <w:color w:val="4A5568"/>
          <w:sz w:val="22"/>
          <w:szCs w:val="22"/>
        </w:rPr>
        <w:t xml:space="preserve">Stockout forecasting (30-day demand averaging, lead time modelling, RISK/OUT flags)</w:t>
      </w:r>
    </w:p>
    <w:p>
      <w:pPr>
        <w:pStyle w:val="ListParagraph"/>
        <w:numPr>
          <w:ilvl w:val="0"/>
          <w:numId w:val="2"/>
        </w:numPr>
        <w:spacing w:after="60" w:before="60"/>
      </w:pPr>
      <w:r>
        <w:rPr>
          <w:rFonts w:ascii="Arial" w:cs="Arial" w:eastAsia="Arial" w:hAnsi="Arial"/>
          <w:color w:val="4A5568"/>
          <w:sz w:val="22"/>
          <w:szCs w:val="22"/>
        </w:rPr>
        <w:t xml:space="preserve">Dead stock scoring (capital-at-risk proxy, gated at Standard+ only)</w:t>
      </w:r>
    </w:p>
    <w:p>
      <w:pPr>
        <w:pStyle w:val="ListParagraph"/>
        <w:numPr>
          <w:ilvl w:val="0"/>
          <w:numId w:val="2"/>
        </w:numPr>
        <w:spacing w:after="60" w:before="60"/>
      </w:pPr>
      <w:r>
        <w:rPr>
          <w:rFonts w:ascii="Arial" w:cs="Arial" w:eastAsia="Arial" w:hAnsi="Arial"/>
          <w:color w:val="4A5568"/>
          <w:sz w:val="22"/>
          <w:szCs w:val="22"/>
        </w:rPr>
        <w:t xml:space="preserve">Wholesale module: purchase orders, delivery manifests, credit notes, per-client pricing, returns management</w:t>
      </w:r>
    </w:p>
    <w:p>
      <w:pPr>
        <w:pStyle w:val="ListParagraph"/>
        <w:numPr>
          <w:ilvl w:val="0"/>
          <w:numId w:val="2"/>
        </w:numPr>
        <w:spacing w:after="60" w:before="60"/>
      </w:pPr>
      <w:r>
        <w:rPr>
          <w:rFonts w:ascii="Arial" w:cs="Arial" w:eastAsia="Arial" w:hAnsi="Arial"/>
          <w:color w:val="4A5568"/>
          <w:sz w:val="22"/>
          <w:szCs w:val="22"/>
        </w:rPr>
        <w:t xml:space="preserve">AI clinical counselling (Anthropic API — session-based, no patient data persisted, graceful fallback to rule-based)</w:t>
      </w:r>
    </w:p>
    <w:p>
      <w:pPr>
        <w:pStyle w:val="ListParagraph"/>
        <w:numPr>
          <w:ilvl w:val="0"/>
          <w:numId w:val="2"/>
        </w:numPr>
        <w:spacing w:after="60" w:before="60"/>
      </w:pPr>
      <w:r>
        <w:rPr>
          <w:rFonts w:ascii="Arial" w:cs="Arial" w:eastAsia="Arial" w:hAnsi="Arial"/>
          <w:color w:val="4A5568"/>
          <w:sz w:val="22"/>
          <w:szCs w:val="22"/>
        </w:rPr>
        <w:t xml:space="preserve">Cold chain temperature log schema (GSDP 2021 compliant — UI in Phase 2)</w:t>
      </w:r>
    </w:p>
    <w:p>
      <w:pPr>
        <w:pStyle w:val="ListParagraph"/>
        <w:numPr>
          <w:ilvl w:val="0"/>
          <w:numId w:val="2"/>
        </w:numPr>
        <w:spacing w:after="60" w:before="60"/>
      </w:pPr>
      <w:r>
        <w:rPr>
          <w:rFonts w:ascii="Arial" w:cs="Arial" w:eastAsia="Arial" w:hAnsi="Arial"/>
          <w:color w:val="4A5568"/>
          <w:sz w:val="22"/>
          <w:szCs w:val="22"/>
        </w:rPr>
        <w:t xml:space="preserve">Pharmacovigilance ADR schema + placeholder page (TMDA integration in Phase 2)</w:t>
      </w:r>
    </w:p>
    <w:p>
      <w:pPr>
        <w:pStyle w:val="ListParagraph"/>
        <w:numPr>
          <w:ilvl w:val="0"/>
          <w:numId w:val="2"/>
        </w:numPr>
        <w:spacing w:after="60" w:before="60"/>
      </w:pPr>
      <w:r>
        <w:rPr>
          <w:rFonts w:ascii="Arial" w:cs="Arial" w:eastAsia="Arial" w:hAnsi="Arial"/>
          <w:color w:val="4A5568"/>
          <w:sz w:val="22"/>
          <w:szCs w:val="22"/>
        </w:rPr>
        <w:t xml:space="preserve">EAN-13 barcode scanning, daily close, owner remote dashboard</w:t>
      </w:r>
    </w:p>
    <w:p>
      <w:pPr>
        <w:pStyle w:val="ListParagraph"/>
        <w:numPr>
          <w:ilvl w:val="0"/>
          <w:numId w:val="2"/>
        </w:numPr>
        <w:spacing w:after="60" w:before="60"/>
      </w:pPr>
      <w:r>
        <w:rPr>
          <w:rFonts w:ascii="Arial" w:cs="Arial" w:eastAsia="Arial" w:hAnsi="Arial"/>
          <w:color w:val="4A5568"/>
          <w:sz w:val="22"/>
          <w:szCs w:val="22"/>
        </w:rPr>
        <w:t xml:space="preserve">Anthropic API PDF import tool for wholesale catalogue extraction</w:t>
      </w:r>
    </w:p>
    <w:p>
      <w:pPr>
        <w:spacing w:after="80" w:before="8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3660"/>
        <w:gridCol w:w="600"/>
      </w:tblGrid>
      <w:tr>
        <w:trPr>
          <w:tblHeader/>
        </w:trPr>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Phase</w:t>
            </w:r>
          </w:p>
        </w:tc>
        <w:tc>
          <w:tcPr>
            <w:tcW w:type="dxa" w:w="15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Focus</w:t>
            </w:r>
          </w:p>
        </w:tc>
        <w:tc>
          <w:tcPr>
            <w:tcW w:type="dxa" w:w="2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Milestone</w:t>
            </w:r>
          </w:p>
        </w:tc>
        <w:tc>
          <w:tcPr>
            <w:tcW w:type="dxa" w:w="36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Features</w:t>
            </w:r>
          </w:p>
        </w:tc>
        <w:tc>
          <w:tcPr>
            <w:tcW w:type="dxa" w:w="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Status</w:t>
            </w:r>
          </w:p>
        </w:tc>
      </w:tr>
      <w:tr>
        <w:tc>
          <w:tcPr>
            <w:tcW w:type="dxa" w:w="1200"/>
            <w:tcBorders>
              <w:top w:val="single" w:color="DDDDDD" w:sz="4"/>
              <w:left w:val="single" w:color="DDDDDD" w:sz="4"/>
              <w:bottom w:val="single" w:color="DDDDDD" w:sz="4"/>
              <w:right w:val="single" w:color="DDDDDD" w:sz="4"/>
            </w:tcBorders>
            <w:shd w:fill="00A87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Phase 1</w:t>
            </w:r>
          </w:p>
        </w:tc>
        <w:tc>
          <w:tcPr>
            <w:tcW w:type="dxa" w:w="15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Dodoma Pilot</w:t>
            </w:r>
          </w:p>
          <w:p>
            <w:pPr>
              <w:spacing w:after="0" w:before="0"/>
            </w:pPr>
            <w:r>
              <w:rPr>
                <w:rFonts w:ascii="Arial" w:cs="Arial" w:eastAsia="Arial" w:hAnsi="Arial"/>
                <w:color w:val="94A3B8"/>
                <w:sz w:val="18"/>
                <w:szCs w:val="18"/>
              </w:rPr>
              <w:t xml:space="preserve">Now – Month 6</w:t>
            </w:r>
          </w:p>
        </w:tc>
        <w:tc>
          <w:tcPr>
            <w:tcW w:type="dxa" w:w="24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10 paying pharmacies, 60 consecutive days</w:t>
            </w:r>
          </w:p>
        </w:tc>
        <w:tc>
          <w:tcPr>
            <w:tcW w:type="dxa" w:w="366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Full OS live; freemium launch; direct sales; early adopter focus</w:t>
            </w:r>
          </w:p>
        </w:tc>
        <w:tc>
          <w:tcPr>
            <w:tcW w:type="dxa" w:w="600"/>
            <w:tcBorders>
              <w:top w:val="single" w:color="DDDDDD" w:sz="4"/>
              <w:left w:val="single" w:color="DDDDDD" w:sz="4"/>
              <w:bottom w:val="single" w:color="DDDDDD" w:sz="4"/>
              <w:right w:val="single" w:color="DDDDDD" w:sz="4"/>
            </w:tcBorders>
            <w:shd w:fill="E6FAF4" w:val="clear"/>
            <w:tcMar>
              <w:top w:type="dxa" w:w="80"/>
              <w:left w:type="dxa" w:w="80"/>
              <w:bottom w:type="dxa" w:w="80"/>
              <w:right w:type="dxa" w:w="80"/>
            </w:tcMar>
          </w:tcPr>
          <w:p>
            <w:pPr>
              <w:spacing w:after="0" w:before="0"/>
              <w:jc w:val="center"/>
            </w:pPr>
            <w:r>
              <w:rPr>
                <w:rFonts w:ascii="Arial" w:cs="Arial" w:eastAsia="Arial" w:hAnsi="Arial"/>
                <w:b/>
                <w:bCs/>
                <w:color w:val="00A878"/>
                <w:sz w:val="18"/>
                <w:szCs w:val="18"/>
              </w:rPr>
              <w:t xml:space="preserve">Live</w:t>
            </w:r>
          </w:p>
        </w:tc>
      </w:tr>
      <w:tr>
        <w:tc>
          <w:tcPr>
            <w:tcW w:type="dxa" w:w="1200"/>
            <w:tcBorders>
              <w:top w:val="single" w:color="DDDDDD" w:sz="4"/>
              <w:left w:val="single" w:color="DDDDDD" w:sz="4"/>
              <w:bottom w:val="single" w:color="DDDDDD" w:sz="4"/>
              <w:right w:val="single" w:color="DDDDDD" w:sz="4"/>
            </w:tcBorders>
            <w:shd w:fill="F7B73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Phase 2</w:t>
            </w:r>
          </w:p>
        </w:tc>
        <w:tc>
          <w:tcPr>
            <w:tcW w:type="dxa" w:w="15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Tanzania</w:t>
            </w:r>
          </w:p>
          <w:p>
            <w:pPr>
              <w:spacing w:after="0" w:before="0"/>
            </w:pPr>
            <w:r>
              <w:rPr>
                <w:rFonts w:ascii="Arial" w:cs="Arial" w:eastAsia="Arial" w:hAnsi="Arial"/>
                <w:color w:val="94A3B8"/>
                <w:sz w:val="18"/>
                <w:szCs w:val="18"/>
              </w:rPr>
              <w:t xml:space="preserve">Month 6 – 18</w:t>
            </w:r>
          </w:p>
        </w:tc>
        <w:tc>
          <w:tcPr>
            <w:tcW w:type="dxa" w:w="24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50 paying, TZS 3.75M MRR</w:t>
            </w:r>
          </w:p>
        </w:tc>
        <w:tc>
          <w:tcPr>
            <w:tcW w:type="dxa" w:w="366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B2B ordering interface; Stock Exchange (pharmacy-to-pharmacy stock trading within the APOTEKH network); CPD tracking; cold chain UI; ADR submission to TMDA; institutional licensing; MUHAS research MOU</w:t>
            </w:r>
          </w:p>
        </w:tc>
        <w:tc>
          <w:tcPr>
            <w:tcW w:type="dxa" w:w="600"/>
            <w:tcBorders>
              <w:top w:val="single" w:color="DDDDDD" w:sz="4"/>
              <w:left w:val="single" w:color="DDDDDD" w:sz="4"/>
              <w:bottom w:val="single" w:color="DDDDDD" w:sz="4"/>
              <w:right w:val="single" w:color="DDDDDD" w:sz="4"/>
            </w:tcBorders>
            <w:shd w:fill="FFF9E6" w:val="clear"/>
            <w:tcMar>
              <w:top w:type="dxa" w:w="80"/>
              <w:left w:type="dxa" w:w="80"/>
              <w:bottom w:type="dxa" w:w="80"/>
              <w:right w:type="dxa" w:w="80"/>
            </w:tcMar>
          </w:tcPr>
          <w:p>
            <w:pPr>
              <w:spacing w:after="0" w:before="0"/>
              <w:jc w:val="center"/>
            </w:pPr>
            <w:r>
              <w:rPr>
                <w:rFonts w:ascii="Arial" w:cs="Arial" w:eastAsia="Arial" w:hAnsi="Arial"/>
                <w:b/>
                <w:bCs/>
                <w:color w:val="E67E22"/>
                <w:sz w:val="18"/>
                <w:szCs w:val="18"/>
              </w:rPr>
              <w:t xml:space="preserve">Building</w:t>
            </w:r>
          </w:p>
        </w:tc>
      </w:tr>
      <w:tr>
        <w:tc>
          <w:tcPr>
            <w:tcW w:type="dxa" w:w="1200"/>
            <w:tcBorders>
              <w:top w:val="single" w:color="DDDDDD" w:sz="4"/>
              <w:left w:val="single" w:color="DDDDDD" w:sz="4"/>
              <w:bottom w:val="single" w:color="DDDDDD" w:sz="4"/>
              <w:right w:val="single" w:color="DDDDDD" w:sz="4"/>
            </w:tcBorders>
            <w:shd w:fill="4299E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Phase 3</w:t>
            </w:r>
          </w:p>
        </w:tc>
        <w:tc>
          <w:tcPr>
            <w:tcW w:type="dxa" w:w="15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East Africa</w:t>
            </w:r>
          </w:p>
          <w:p>
            <w:pPr>
              <w:spacing w:after="0" w:before="0"/>
            </w:pPr>
            <w:r>
              <w:rPr>
                <w:rFonts w:ascii="Arial" w:cs="Arial" w:eastAsia="Arial" w:hAnsi="Arial"/>
                <w:color w:val="94A3B8"/>
                <w:sz w:val="18"/>
                <w:szCs w:val="18"/>
              </w:rPr>
              <w:t xml:space="preserve">Month 18 – 36</w:t>
            </w:r>
          </w:p>
        </w:tc>
        <w:tc>
          <w:tcPr>
            <w:tcW w:type="dxa" w:w="24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200+ pharmacies, Series A ready</w:t>
            </w:r>
          </w:p>
        </w:tc>
        <w:tc>
          <w:tcPr>
            <w:tcW w:type="dxa" w:w="366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Kenya entry (PPB localization); data licensing launch (200+ pharmacies threshold); wholesale cross-border; regional demand analytics</w:t>
            </w:r>
          </w:p>
        </w:tc>
        <w:tc>
          <w:tcPr>
            <w:tcW w:type="dxa" w:w="600"/>
            <w:tcBorders>
              <w:top w:val="single" w:color="DDDDDD" w:sz="4"/>
              <w:left w:val="single" w:color="DDDDDD" w:sz="4"/>
              <w:bottom w:val="single" w:color="DDDDDD" w:sz="4"/>
              <w:right w:val="single" w:color="DDDDDD" w:sz="4"/>
            </w:tcBorders>
            <w:shd w:fill="F5F7FA" w:val="clear"/>
            <w:tcMar>
              <w:top w:type="dxa" w:w="80"/>
              <w:left w:type="dxa" w:w="80"/>
              <w:bottom w:type="dxa" w:w="80"/>
              <w:right w:type="dxa" w:w="80"/>
            </w:tcMar>
          </w:tcPr>
          <w:p>
            <w:pPr>
              <w:spacing w:after="0" w:before="0"/>
              <w:jc w:val="center"/>
            </w:pPr>
            <w:r>
              <w:rPr>
                <w:rFonts w:ascii="Arial" w:cs="Arial" w:eastAsia="Arial" w:hAnsi="Arial"/>
                <w:b/>
                <w:bCs/>
                <w:color w:val="94A3B8"/>
                <w:sz w:val="18"/>
                <w:szCs w:val="18"/>
              </w:rPr>
              <w:t xml:space="preserve">Roadmap</w:t>
            </w:r>
          </w:p>
        </w:tc>
      </w:tr>
      <w:tr>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Phase 4</w:t>
            </w:r>
          </w:p>
        </w:tc>
        <w:tc>
          <w:tcPr>
            <w:tcW w:type="dxa" w:w="15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Network Scale</w:t>
            </w:r>
          </w:p>
          <w:p>
            <w:pPr>
              <w:spacing w:after="0" w:before="0"/>
            </w:pPr>
            <w:r>
              <w:rPr>
                <w:rFonts w:ascii="Arial" w:cs="Arial" w:eastAsia="Arial" w:hAnsi="Arial"/>
                <w:color w:val="94A3B8"/>
                <w:sz w:val="18"/>
                <w:szCs w:val="18"/>
              </w:rPr>
              <w:t xml:space="preserve">Month 36 – 60</w:t>
            </w:r>
          </w:p>
        </w:tc>
        <w:tc>
          <w:tcPr>
            <w:tcW w:type="dxa" w:w="240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10,000+ outlets, 6 markets</w:t>
            </w:r>
          </w:p>
        </w:tc>
        <w:tc>
          <w:tcPr>
            <w:tcW w:type="dxa" w:w="3660"/>
            <w:tcBorders>
              <w:top w:val="single" w:color="DDDDDD" w:sz="4"/>
              <w:left w:val="single" w:color="DDDDDD" w:sz="4"/>
              <w:bottom w:val="single" w:color="DDDDDD" w:sz="4"/>
              <w:right w:val="single" w:color="DDDDDD" w:sz="4"/>
            </w:tcBorders>
            <w:shd w:fill="F8FFFE"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Ethiopia, Uganda, Rwanda entry; manufacturer/distributor API; embedded lending; AI safety layer from Phase 3 data</w:t>
            </w:r>
          </w:p>
        </w:tc>
        <w:tc>
          <w:tcPr>
            <w:tcW w:type="dxa" w:w="600"/>
            <w:tcBorders>
              <w:top w:val="single" w:color="DDDDDD" w:sz="4"/>
              <w:left w:val="single" w:color="DDDDDD" w:sz="4"/>
              <w:bottom w:val="single" w:color="DDDDDD" w:sz="4"/>
              <w:right w:val="single" w:color="DDDDDD" w:sz="4"/>
            </w:tcBorders>
            <w:shd w:fill="F5F7FA" w:val="clear"/>
            <w:tcMar>
              <w:top w:type="dxa" w:w="80"/>
              <w:left w:type="dxa" w:w="80"/>
              <w:bottom w:type="dxa" w:w="80"/>
              <w:right w:type="dxa" w:w="80"/>
            </w:tcMar>
          </w:tcPr>
          <w:p>
            <w:pPr>
              <w:spacing w:after="0" w:before="0"/>
              <w:jc w:val="center"/>
            </w:pPr>
            <w:r>
              <w:rPr>
                <w:rFonts w:ascii="Arial" w:cs="Arial" w:eastAsia="Arial" w:hAnsi="Arial"/>
                <w:b/>
                <w:bCs/>
                <w:color w:val="94A3B8"/>
                <w:sz w:val="18"/>
                <w:szCs w:val="18"/>
              </w:rPr>
              <w:t xml:space="preserve">Roadmap</w:t>
            </w:r>
          </w:p>
        </w:tc>
      </w:tr>
    </w:tbl>
    <w:p>
      <w:pPr>
        <w:spacing w:after="80" w:before="80"/>
      </w:pPr>
      <w:r>
        <w:rPr>
          <w:rFonts w:ascii="Arial" w:cs="Arial" w:eastAsia="Arial" w:hAnsi="Arial"/>
          <w:color w:val="4A5568"/>
          <w:sz w:val="22"/>
          <w:szCs w:val="22"/>
        </w:rPr>
        <w:t xml:space="preserve"/>
      </w:r>
    </w:p>
    <w:p>
      <w:pPr>
        <w:pStyle w:val="Heading2"/>
        <w:spacing w:after="120" w:before="320"/>
      </w:pPr>
      <w:r>
        <w:rPr>
          <w:rFonts w:ascii="Arial" w:cs="Arial" w:eastAsia="Arial" w:hAnsi="Arial"/>
          <w:b/>
          <w:bCs/>
          <w:color w:val="0A2540"/>
          <w:sz w:val="26"/>
          <w:szCs w:val="26"/>
        </w:rPr>
        <w:t xml:space="preserve">Deferred pending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3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Dependency</w:t>
            </w:r>
          </w:p>
        </w:tc>
        <w:tc>
          <w:tcPr>
            <w:tcW w:type="dxa" w:w="3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NHIF Electronic Claims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NHIF Breeze API accreditation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Deferred (economics unclear)</w:t>
            </w:r>
          </w:p>
        </w:tc>
      </w:tr>
      <w:tr>
        <w:tc>
          <w:tcPr>
            <w:tcW w:type="dxa" w:w="2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Cold Chain UI</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2 platform build</w:t>
            </w:r>
          </w:p>
        </w:tc>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2</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ADR Submission to TMDA</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TMDA electronic reporting integration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2</w:t>
            </w:r>
          </w:p>
        </w:tc>
      </w:tr>
      <w:tr>
        <w:tc>
          <w:tcPr>
            <w:tcW w:type="dxa" w:w="2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PC-Accredited CPD</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Pharmacy Council integration</w:t>
            </w:r>
          </w:p>
        </w:tc>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2</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Persistent Patient Data</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PDPC registration + MOH MOU</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3</w:t>
            </w:r>
          </w:p>
        </w:tc>
      </w:tr>
      <w:tr>
        <w:tc>
          <w:tcPr>
            <w:tcW w:type="dxa" w:w="2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Data Products (Licensing)</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200+ pharmacy threshold + regulatory clearance</w:t>
            </w:r>
          </w:p>
        </w:tc>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3</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Patient Mobile App</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MOH MOU + PDPC registration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Phase 3</w:t>
            </w:r>
          </w:p>
        </w:tc>
      </w:tr>
    </w:tbl>
    <w:p>
      <w:pPr>
        <w:spacing w:after="80" w:before="80"/>
      </w:pPr>
      <w:r>
        <w:rPr>
          <w:rFonts w:ascii="Arial" w:cs="Arial" w:eastAsia="Arial" w:hAnsi="Arial"/>
          <w:color w:val="4A5568"/>
          <w:sz w:val="22"/>
          <w:szCs w:val="22"/>
        </w:rPr>
        <w:t xml:space="preserve"/>
      </w:r>
    </w:p>
    <w:p>
      <w:pPr>
        <w:pStyle w:val="Heading1"/>
        <w:pageBreakBefore/>
        <w:spacing w:after="160" w:before="480"/>
      </w:pPr>
      <w:r>
        <w:rPr>
          <w:rFonts w:ascii="Arial" w:cs="Arial" w:eastAsia="Arial" w:hAnsi="Arial"/>
          <w:b/>
          <w:bCs/>
          <w:color w:val="0A2540"/>
          <w:sz w:val="36"/>
          <w:szCs w:val="36"/>
        </w:rPr>
        <w:t xml:space="preserve">7. Strategic Principles</w:t>
      </w:r>
    </w:p>
    <w:p>
      <w:pPr>
        <w:spacing w:after="80" w:before="80"/>
      </w:pPr>
      <w:r>
        <w:rPr>
          <w:rFonts w:ascii="Arial" w:cs="Arial" w:eastAsia="Arial" w:hAnsi="Arial"/>
          <w:color w:val="4A5568"/>
          <w:sz w:val="22"/>
          <w:szCs w:val="22"/>
        </w:rPr>
        <w:t xml:space="preserve">These principles are locked. They represent hard-won ground-level corrections to strategic assumptions. They do not change based on investor pressure or market trends.</w:t>
      </w:r>
    </w:p>
    <w:p>
      <w:pPr>
        <w:pStyle w:val="Heading2"/>
        <w:spacing w:after="120" w:before="320"/>
      </w:pPr>
      <w:r>
        <w:rPr>
          <w:rFonts w:ascii="Arial" w:cs="Arial" w:eastAsia="Arial" w:hAnsi="Arial"/>
          <w:b/>
          <w:bCs/>
          <w:color w:val="0A2540"/>
          <w:sz w:val="26"/>
          <w:szCs w:val="26"/>
        </w:rPr>
        <w:t xml:space="preserve">Build the OS first, layer the network second</w:t>
      </w:r>
    </w:p>
    <w:p>
      <w:pPr>
        <w:spacing w:after="80" w:before="80"/>
      </w:pPr>
      <w:r>
        <w:rPr>
          <w:rFonts w:ascii="Arial" w:cs="Arial" w:eastAsia="Arial" w:hAnsi="Arial"/>
          <w:color w:val="4A5568"/>
          <w:sz w:val="22"/>
          <w:szCs w:val="22"/>
        </w:rPr>
        <w:t xml:space="preserve">Single-player value must be complete before network effects are meaningful. The pharmacy owner’s daily problem is solved by the OS alone. Every dispensing record, stock movement, and supplier interaction has value to the pharmacy before anyone else joins the network. Build this base deeply with the first 50 pharmacies. Then activate the network layer with confidence.</w:t>
      </w:r>
    </w:p>
    <w:p>
      <w:pPr>
        <w:pStyle w:val="Heading2"/>
        <w:spacing w:after="120" w:before="320"/>
      </w:pPr>
      <w:r>
        <w:rPr>
          <w:rFonts w:ascii="Arial" w:cs="Arial" w:eastAsia="Arial" w:hAnsi="Arial"/>
          <w:b/>
          <w:bCs/>
          <w:color w:val="0A2540"/>
          <w:sz w:val="26"/>
          <w:szCs w:val="26"/>
        </w:rPr>
        <w:t xml:space="preserve">Monetise the network, not the practitioner</w:t>
      </w:r>
    </w:p>
    <w:p>
      <w:pPr>
        <w:spacing w:after="80" w:before="80"/>
      </w:pPr>
      <w:r>
        <w:rPr>
          <w:rFonts w:ascii="Arial" w:cs="Arial" w:eastAsia="Arial" w:hAnsi="Arial"/>
          <w:color w:val="4A5568"/>
          <w:sz w:val="22"/>
          <w:szCs w:val="22"/>
        </w:rPr>
        <w:t xml:space="preserve">Pharmacy subscription stays low-cost and accessible. Revenue growth comes from pharma companies (CPD sponsorship), data consumers (anonymised dispensing intelligence), marketplace commissions (wholesale), and embedded finance — not from charging pharmacy owners heavily. The pharmacy is the access point. The subscription is the entry fee to a network that pays APOTEKH in ways invisible to the pharmacy.</w:t>
      </w:r>
    </w:p>
    <w:p>
      <w:pPr>
        <w:pStyle w:val="Heading2"/>
        <w:spacing w:after="120" w:before="320"/>
      </w:pPr>
      <w:r>
        <w:rPr>
          <w:rFonts w:ascii="Arial" w:cs="Arial" w:eastAsia="Arial" w:hAnsi="Arial"/>
          <w:b/>
          <w:bCs/>
          <w:color w:val="0A2540"/>
          <w:sz w:val="26"/>
          <w:szCs w:val="26"/>
        </w:rPr>
        <w:t xml:space="preserve">Habit formation is the master metric</w:t>
      </w:r>
    </w:p>
    <w:p>
      <w:pPr>
        <w:spacing w:after="80" w:before="80"/>
      </w:pPr>
      <w:r>
        <w:rPr>
          <w:rFonts w:ascii="Arial" w:cs="Arial" w:eastAsia="Arial" w:hAnsi="Arial"/>
          <w:color w:val="4A5568"/>
          <w:sz w:val="22"/>
          <w:szCs w:val="22"/>
        </w:rPr>
        <w:t xml:space="preserve">70%+ monthly retention must be proven before any other strategic pillar is credible. Board recruitment, investor conversations, PST partnership, CPD infrastructure — all of these are downstream of retention. Retention is downstream of genuine daily use. Genuine daily use is downstream of the platform solving a real problem the pharmacy owner felt today, not next month.</w:t>
      </w:r>
    </w:p>
    <w:p>
      <w:pPr>
        <w:pStyle w:val="Heading2"/>
        <w:spacing w:after="120" w:before="320"/>
      </w:pPr>
      <w:r>
        <w:rPr>
          <w:rFonts w:ascii="Arial" w:cs="Arial" w:eastAsia="Arial" w:hAnsi="Arial"/>
          <w:b/>
          <w:bCs/>
          <w:color w:val="0A2540"/>
          <w:sz w:val="26"/>
          <w:szCs w:val="26"/>
        </w:rPr>
        <w:t xml:space="preserve">Record everything, block almost nothing</w:t>
      </w:r>
    </w:p>
    <w:p>
      <w:pPr>
        <w:spacing w:after="80" w:before="80"/>
      </w:pPr>
      <w:r>
        <w:rPr>
          <w:rFonts w:ascii="Arial" w:cs="Arial" w:eastAsia="Arial" w:hAnsi="Arial"/>
          <w:color w:val="4A5568"/>
          <w:sz w:val="22"/>
          <w:szCs w:val="22"/>
        </w:rPr>
        <w:t xml:space="preserve">The core design principle: alerts inform and log overrides rather than interrupt workflow. A paying customer’s smooth operations must never be compromised by data architecture needs. When a dispenser overrides an interaction alert, the override is logged with the Superintendent PIN and a reason — the dispensing is not blocked. This is not a safety compromise; it mirrors how a well-trained pharmacist actually works. APOTEKH captures the reality of clinical practice rather than imposing an idealized workflow that practitioners route around.</w:t>
      </w:r>
    </w:p>
    <w:p>
      <w:pPr>
        <w:pStyle w:val="Heading2"/>
        <w:spacing w:after="120" w:before="320"/>
      </w:pPr>
      <w:r>
        <w:rPr>
          <w:rFonts w:ascii="Arial" w:cs="Arial" w:eastAsia="Arial" w:hAnsi="Arial"/>
          <w:b/>
          <w:bCs/>
          <w:color w:val="0A2540"/>
          <w:sz w:val="26"/>
          <w:szCs w:val="26"/>
        </w:rPr>
        <w:t xml:space="preserve">The APOTEKH data layer is a byproduct, not a burden</w:t>
      </w:r>
    </w:p>
    <w:p>
      <w:pPr>
        <w:spacing w:after="80" w:before="80"/>
      </w:pPr>
      <w:r>
        <w:rPr>
          <w:rFonts w:ascii="Arial" w:cs="Arial" w:eastAsia="Arial" w:hAnsi="Arial"/>
          <w:color w:val="4A5568"/>
          <w:sz w:val="22"/>
          <w:szCs w:val="22"/>
        </w:rPr>
        <w:t xml:space="preserve">The anonymised, aggregated dispensing data generated by paying customers fills six identified Tanzania healthcare data gaps simultaneously: real-time private sector stock availability, community dispensing patterns, AMR signals, NCD medicine access trends, live pricing intelligence, and ADDO compliance monitoring. This data asset requires no additional collection burden on pharmacies. It emerges from the OS doing its primary job. This is the Phase 3 monetization engine.</w:t>
      </w:r>
    </w:p>
    <w:p>
      <w:pPr>
        <w:pStyle w:val="Heading2"/>
        <w:spacing w:after="120" w:before="320"/>
      </w:pPr>
      <w:r>
        <w:rPr>
          <w:rFonts w:ascii="Arial" w:cs="Arial" w:eastAsia="Arial" w:hAnsi="Arial"/>
          <w:b/>
          <w:bCs/>
          <w:color w:val="0A2540"/>
          <w:sz w:val="26"/>
          <w:szCs w:val="26"/>
        </w:rPr>
        <w:t xml:space="preserve">The AMR channel runs parallel to, not instead of, the commercial model</w:t>
      </w:r>
    </w:p>
    <w:p>
      <w:pPr>
        <w:spacing w:after="80" w:before="80"/>
      </w:pPr>
      <w:r>
        <w:rPr>
          <w:rFonts w:ascii="Arial" w:cs="Arial" w:eastAsia="Arial" w:hAnsi="Arial"/>
          <w:color w:val="4A5568"/>
          <w:sz w:val="22"/>
          <w:szCs w:val="22"/>
        </w:rPr>
        <w:t xml:space="preserve">Sharing aggregate anonymised dispensing data with TMDA at no cost positions APOTEKH as Tanzania’s national AMR surveillance infrastructure partner. This is the grant channel for Fleming Fund, WHO, Wellcome Trust, and Gates Foundation-adjacent funders. It is a parallel revenue stream, not a replacement for the commercial subscription model. A VC and a grant funder see two different things simultaneously — and both are true. Clinical safety features stay in paid tiers at the individual pharmacy level. The aggregate intelligence is the public health dividend.</w:t>
      </w:r>
    </w:p>
    <w:p>
      <w:pPr>
        <w:pStyle w:val="Heading1"/>
        <w:pageBreakBefore/>
        <w:spacing w:after="160" w:before="480"/>
      </w:pPr>
      <w:r>
        <w:rPr>
          <w:rFonts w:ascii="Arial" w:cs="Arial" w:eastAsia="Arial" w:hAnsi="Arial"/>
          <w:b/>
          <w:bCs/>
          <w:color w:val="0A2540"/>
          <w:sz w:val="36"/>
          <w:szCs w:val="36"/>
        </w:rPr>
        <w:t xml:space="preserve">8. Governance &amp; Board</w:t>
      </w:r>
    </w:p>
    <w:p>
      <w:pPr>
        <w:pStyle w:val="Heading2"/>
        <w:spacing w:after="120" w:before="320"/>
      </w:pPr>
      <w:r>
        <w:rPr>
          <w:rFonts w:ascii="Arial" w:cs="Arial" w:eastAsia="Arial" w:hAnsi="Arial"/>
          <w:b/>
          <w:bCs/>
          <w:color w:val="0A2540"/>
          <w:sz w:val="26"/>
          <w:szCs w:val="26"/>
        </w:rPr>
        <w:t xml:space="preserve">Wave 1 — target board (five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2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Role/Affiliation</w:t>
            </w:r>
          </w:p>
        </w:tc>
        <w:tc>
          <w:tcPr>
            <w:tcW w:type="dxa" w:w="45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brought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Fadhili Hezekiah</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PST President</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Pharmacy owner trust + CPD mandate; treat as personal contact, not institutional partnership</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Mbwana Alliy</w:t>
            </w:r>
          </w:p>
        </w:tc>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Savannah Fund, Arusha-based Tanzanian VC</w:t>
            </w:r>
          </w:p>
        </w:tc>
        <w:tc>
          <w:tcPr>
            <w:tcW w:type="dxa" w:w="45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Governance + investor credibility; primary investor target; approach after reaching 10 paying pharmacies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Dr. Romuald Mbwasi</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Apotheker Consultancy, Dodoma; St. John’s University</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ADDO ground-level knowledge; co-implemented ADDO program; Tanzania-rooted TMDA relationships</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Jafary Liana</w:t>
            </w:r>
          </w:p>
        </w:tc>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MSH Tanzania ADDO Operations</w:t>
            </w:r>
          </w:p>
        </w:tc>
        <w:tc>
          <w:tcPr>
            <w:tcW w:type="dxa" w:w="45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In-country operational depth; ADDO supervisor relationships; pharmacy owner network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Paul Youn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Former Maisha Meds board; D-Prize</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Funder connections; comparable market experience; understanding of POS-as-trojan-horse model</w:t>
            </w:r>
          </w:p>
        </w:tc>
      </w:tr>
    </w:tbl>
    <w:p>
      <w:pPr>
        <w:spacing w:after="80" w:before="80"/>
      </w:pPr>
      <w:r>
        <w:rPr>
          <w:rFonts w:ascii="Arial" w:cs="Arial" w:eastAsia="Arial" w:hAnsi="Arial"/>
          <w:color w:val="4A5568"/>
          <w:sz w:val="22"/>
          <w:szCs w:val="22"/>
        </w:rPr>
        <w:t xml:space="preserve"/>
      </w:r>
    </w:p>
    <w:p>
      <w:pPr>
        <w:spacing w:after="80" w:before="80"/>
      </w:pPr>
      <w:r>
        <w:rPr>
          <w:rFonts w:ascii="Arial" w:cs="Arial" w:eastAsia="Arial" w:hAnsi="Arial"/>
          <w:color w:val="4A5568"/>
          <w:sz w:val="22"/>
          <w:szCs w:val="22"/>
        </w:rPr>
        <w:t xml:space="preserve">Note on PC members: Tanzania Pharmacy Council member names are not publicly published online. The founder knows them personally. Current PC members may face conflict-of-interest restrictions on private company board seats — an advisory council structure is the recommended workaround.</w:t>
      </w:r>
    </w:p>
    <w:p>
      <w:pPr>
        <w:pStyle w:val="Heading2"/>
        <w:spacing w:after="120" w:before="320"/>
      </w:pPr>
      <w:r>
        <w:rPr>
          <w:rFonts w:ascii="Arial" w:cs="Arial" w:eastAsia="Arial" w:hAnsi="Arial"/>
          <w:b/>
          <w:bCs/>
          <w:color w:val="0A2540"/>
          <w:sz w:val="26"/>
          <w:szCs w:val="26"/>
        </w:rPr>
        <w:t xml:space="preserve">Ecosystem contacts (not board seats)</w:t>
      </w:r>
    </w:p>
    <w:p>
      <w:pPr>
        <w:pStyle w:val="ListParagraph"/>
        <w:numPr>
          <w:ilvl w:val="0"/>
          <w:numId w:val="2"/>
        </w:numPr>
        <w:spacing w:after="60" w:before="60"/>
      </w:pPr>
      <w:r>
        <w:rPr>
          <w:rFonts w:ascii="Arial" w:cs="Arial" w:eastAsia="Arial" w:hAnsi="Arial"/>
          <w:b/>
          <w:bCs/>
          <w:color w:val="0A2540"/>
          <w:sz w:val="22"/>
          <w:szCs w:val="22"/>
        </w:rPr>
        <w:t xml:space="preserve">Jumanne Mtambalike: </w:t>
      </w:r>
      <w:r>
        <w:rPr>
          <w:rFonts w:ascii="Arial" w:cs="Arial" w:eastAsia="Arial" w:hAnsi="Arial"/>
          <w:color w:val="4A5568"/>
          <w:sz w:val="22"/>
          <w:szCs w:val="22"/>
        </w:rPr>
        <w:t xml:space="preserve">Jumanne Mtambalike (Buni/COSTECH) — ecosystem intelligence, government access, COSTECH scheme navigation. Approach founder-to-founder.</w:t>
      </w:r>
    </w:p>
    <w:p>
      <w:pPr>
        <w:pStyle w:val="ListParagraph"/>
        <w:numPr>
          <w:ilvl w:val="0"/>
          <w:numId w:val="2"/>
        </w:numPr>
        <w:spacing w:after="60" w:before="60"/>
      </w:pPr>
      <w:r>
        <w:rPr>
          <w:rFonts w:ascii="Arial" w:cs="Arial" w:eastAsia="Arial" w:hAnsi="Arial"/>
          <w:b/>
          <w:bCs/>
          <w:color w:val="0A2540"/>
          <w:sz w:val="22"/>
          <w:szCs w:val="22"/>
        </w:rPr>
        <w:t xml:space="preserve">Benjamin Fernandes: </w:t>
      </w:r>
      <w:r>
        <w:rPr>
          <w:rFonts w:ascii="Arial" w:cs="Arial" w:eastAsia="Arial" w:hAnsi="Arial"/>
          <w:color w:val="4A5568"/>
          <w:sz w:val="22"/>
          <w:szCs w:val="22"/>
        </w:rPr>
        <w:t xml:space="preserve">Benjamin Fernandes (NALA) — pattern recognition, investor network access, Tanzanian founder credibility. Approach after Mbwana Alliy is confirmed. Ask for 30-minute advice conversation, not a board seat.</w:t>
      </w:r>
    </w:p>
    <w:p>
      <w:pPr>
        <w:pStyle w:val="Heading2"/>
        <w:spacing w:after="120" w:before="320"/>
      </w:pPr>
      <w:r>
        <w:rPr>
          <w:rFonts w:ascii="Arial" w:cs="Arial" w:eastAsia="Arial" w:hAnsi="Arial"/>
          <w:b/>
          <w:bCs/>
          <w:color w:val="0A2540"/>
          <w:sz w:val="26"/>
          <w:szCs w:val="26"/>
        </w:rPr>
        <w:t xml:space="preserve">Wave 2 — after 100 pharmacies</w:t>
      </w:r>
    </w:p>
    <w:p>
      <w:pPr>
        <w:pStyle w:val="ListParagraph"/>
        <w:numPr>
          <w:ilvl w:val="0"/>
          <w:numId w:val="2"/>
        </w:numPr>
        <w:spacing w:after="60" w:before="60"/>
      </w:pPr>
      <w:r>
        <w:rPr>
          <w:rFonts w:ascii="Arial" w:cs="Arial" w:eastAsia="Arial" w:hAnsi="Arial"/>
          <w:color w:val="4A5568"/>
          <w:sz w:val="22"/>
          <w:szCs w:val="22"/>
        </w:rPr>
        <w:t xml:space="preserve">Amaan Khalfan — Goodlife Pharmacy CEO</w:t>
      </w:r>
    </w:p>
    <w:p>
      <w:pPr>
        <w:pStyle w:val="ListParagraph"/>
        <w:numPr>
          <w:ilvl w:val="0"/>
          <w:numId w:val="2"/>
        </w:numPr>
        <w:spacing w:after="60" w:before="60"/>
      </w:pPr>
      <w:r>
        <w:rPr>
          <w:rFonts w:ascii="Arial" w:cs="Arial" w:eastAsia="Arial" w:hAnsi="Arial"/>
          <w:color w:val="4A5568"/>
          <w:sz w:val="22"/>
          <w:szCs w:val="22"/>
        </w:rPr>
        <w:t xml:space="preserve">Rowena Luk or Sewu-Steve Tawia — investor perspectives</w:t>
      </w:r>
    </w:p>
    <w:p>
      <w:pPr>
        <w:pStyle w:val="Heading2"/>
        <w:spacing w:after="120" w:before="320"/>
      </w:pPr>
      <w:r>
        <w:rPr>
          <w:rFonts w:ascii="Arial" w:cs="Arial" w:eastAsia="Arial" w:hAnsi="Arial"/>
          <w:b/>
          <w:bCs/>
          <w:color w:val="0A2540"/>
          <w:sz w:val="26"/>
          <w:szCs w:val="26"/>
        </w:rPr>
        <w:t xml:space="preserve">Wave 3 — grant applications</w:t>
      </w:r>
    </w:p>
    <w:p>
      <w:pPr>
        <w:pStyle w:val="ListParagraph"/>
        <w:numPr>
          <w:ilvl w:val="0"/>
          <w:numId w:val="2"/>
        </w:numPr>
        <w:spacing w:after="60" w:before="60"/>
      </w:pPr>
      <w:r>
        <w:rPr>
          <w:rFonts w:ascii="Arial" w:cs="Arial" w:eastAsia="Arial" w:hAnsi="Arial"/>
          <w:color w:val="4A5568"/>
          <w:sz w:val="22"/>
          <w:szCs w:val="22"/>
        </w:rPr>
        <w:t xml:space="preserve">Prof. Catherine Goodman — LSHTM (research credibility for grant applications)</w:t>
      </w:r>
    </w:p>
    <w:p>
      <w:pPr>
        <w:pStyle w:val="ListParagraph"/>
        <w:numPr>
          <w:ilvl w:val="0"/>
          <w:numId w:val="2"/>
        </w:numPr>
        <w:spacing w:after="60" w:before="60"/>
      </w:pPr>
      <w:r>
        <w:rPr>
          <w:rFonts w:ascii="Arial" w:cs="Arial" w:eastAsia="Arial" w:hAnsi="Arial"/>
          <w:color w:val="4A5568"/>
          <w:sz w:val="22"/>
          <w:szCs w:val="22"/>
        </w:rPr>
        <w:t xml:space="preserve">Christine Lasway — DICOTA (policy and institutional access)</w:t>
      </w:r>
    </w:p>
    <w:p>
      <w:r>
        <w:br w:type="page"/>
      </w:r>
    </w:p>
    <w:p>
      <w:pPr>
        <w:spacing w:after="240" w:before="1440"/>
        <w:jc w:val="center"/>
      </w:pPr>
      <w:r>
        <w:rPr>
          <w:rFonts w:ascii="Arial" w:cs="Arial" w:eastAsia="Arial" w:hAnsi="Arial"/>
          <w:b/>
          <w:bCs/>
          <w:color w:val="0A2540"/>
          <w:sz w:val="24"/>
          <w:szCs w:val="24"/>
        </w:rPr>
        <w:t xml:space="preserve">The single most important strategic principle:</w:t>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Build the pharmacy OS first — single-player value, no network needed. Layer education and data second — network effects. Monetise the network, not the practitioner. The pharmacy subscription stays low-cost. Revenue comes from pharma companies, data consumers, marketplace commissions, and embedded finance — not from charging pharmacy owners heavily.</w:t>
      </w:r>
    </w:p>
    <w:p>
      <w:pPr>
        <w:spacing w:after="0" w:before="240"/>
      </w:pPr>
      <w:r>
        <w:t xml:space="preserve"/>
      </w:r>
    </w:p>
    <w:p>
      <w:pPr>
        <w:spacing w:after="240" w:before="240"/>
        <w:jc w:val="center"/>
      </w:pPr>
      <w:r>
        <w:rPr>
          <w:rFonts w:ascii="Arial" w:cs="Arial" w:eastAsia="Arial" w:hAnsi="Arial"/>
          <w:b/>
          <w:bCs/>
          <w:color w:val="0A2540"/>
          <w:sz w:val="24"/>
          <w:szCs w:val="24"/>
        </w:rPr>
        <w:t xml:space="preserve">The single most important tactical principle right now:</w:t>
      </w:r>
    </w:p>
    <w:p>
      <w:pPr>
        <w:pBdr>
          <w:left w:val="single" w:color="00A878" w:sz="12" w:space="8"/>
        </w:pBdr>
        <w:shd w:fill="F5F7FA" w:val="clear"/>
        <w:spacing w:after="120" w:before="120"/>
        <w:ind w:left="360" w:right="360"/>
      </w:pPr>
      <w:r>
        <w:rPr>
          <w:rFonts w:ascii="Arial" w:cs="Arial" w:eastAsia="Arial" w:hAnsi="Arial"/>
          <w:i/>
          <w:iCs/>
          <w:color w:val="0A2540"/>
          <w:sz w:val="22"/>
          <w:szCs w:val="22"/>
        </w:rPr>
        <w:t xml:space="preserve">Find the 10 pharmacies that already see the value and will pay from day one. Build deeply with them. Let their results do the selling to everyone else.</w:t>
      </w:r>
    </w:p>
    <w:p>
      <w:pPr>
        <w:spacing w:after="0" w:before="480"/>
      </w:pPr>
      <w:r>
        <w:t xml:space="preserve"/>
      </w:r>
    </w:p>
    <w:p>
      <w:pPr>
        <w:spacing w:after="80" w:before="0"/>
        <w:jc w:val="center"/>
      </w:pPr>
      <w:r>
        <w:rPr>
          <w:rFonts w:ascii="Arial" w:cs="Arial" w:eastAsia="Arial" w:hAnsi="Arial"/>
          <w:i/>
          <w:iCs/>
          <w:color w:val="00A878"/>
          <w:sz w:val="22"/>
          <w:szCs w:val="22"/>
        </w:rPr>
        <w:t xml:space="preserve">APOTEKH — The Operating System for African Pharmacy</w:t>
      </w:r>
    </w:p>
    <w:p>
      <w:pPr>
        <w:spacing w:after="0" w:before="0"/>
        <w:jc w:val="center"/>
      </w:pPr>
      <w:r>
        <w:rPr>
          <w:rFonts w:ascii="Arial" w:cs="Arial" w:eastAsia="Arial" w:hAnsi="Arial"/>
          <w:color w:val="94A3B8"/>
          <w:sz w:val="20"/>
          <w:szCs w:val="20"/>
        </w:rPr>
        <w:t xml:space="preserve">Confidential | May 2026 | Arusha, Tanzania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tabs>
        <w:tab w:val="right" w:pos="9360"/>
      </w:tabs>
      <w:spacing w:after="0" w:before="120"/>
    </w:pPr>
    <w:r>
      <w:rPr>
        <w:rFonts w:ascii="Arial" w:cs="Arial" w:eastAsia="Arial" w:hAnsi="Arial"/>
        <w:color w:val="94A3B8"/>
        <w:sz w:val="18"/>
        <w:szCs w:val="18"/>
      </w:rPr>
      <w:t xml:space="preserve">APOTEKH | apotekh.com | Confidential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tabs>
        <w:tab w:val="right" w:pos="9360"/>
      </w:tabs>
      <w:spacing w:after="120" w:before="0"/>
    </w:pPr>
    <w:r>
      <w:rPr>
        <w:rFonts w:ascii="Arial" w:cs="Arial" w:eastAsia="Arial" w:hAnsi="Arial"/>
        <w:b/>
        <w:bCs/>
        <w:color w:val="00A878"/>
        <w:sz w:val="18"/>
        <w:szCs w:val="18"/>
      </w:rPr>
      <w:t xml:space="preserve">APOTEKH </w:t>
    </w:r>
    <w:r>
      <w:rPr>
        <w:rFonts w:ascii="Arial" w:cs="Arial" w:eastAsia="Arial" w:hAnsi="Arial"/>
        <w:color w:val="94A3B8"/>
        <w:sz w:val="18"/>
        <w:szCs w:val="18"/>
      </w:rPr>
      <w:t xml:space="preserve">Platform Strategy — Confidential</w:t>
    </w:r>
    <w:r>
      <w:rPr>
        <w:rFonts w:ascii="Arial" w:cs="Arial" w:eastAsia="Arial" w:hAnsi="Arial"/>
        <w:sz w:val="18"/>
        <w:szCs w:val="18"/>
      </w:rPr>
      <w:t xml:space="preserve">	</w:t>
    </w:r>
    <w:r>
      <w:rPr>
        <w:rFonts w:ascii="Arial" w:cs="Arial" w:eastAsia="Arial" w:hAnsi="Arial"/>
        <w:color w:val="94A3B8"/>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254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0A8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2026-05-18T20:46:27.684Z</dcterms:created>
  <dcterms:modified xsi:type="dcterms:W3CDTF">2026-05-18T20:46:27.684Z</dcterms:modified>
</cp:coreProperties>
</file>

<file path=docProps/custom.xml><?xml version="1.0" encoding="utf-8"?>
<Properties xmlns="http://schemas.openxmlformats.org/officeDocument/2006/custom-properties" xmlns:vt="http://schemas.openxmlformats.org/officeDocument/2006/docPropsVTypes"/>
</file>