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160" w:before="0"/>
        <w:jc w:val="center"/>
      </w:pPr>
      <w:r>
        <w:rPr>
          <w:rFonts w:ascii="Arial" w:cs="Arial" w:eastAsia="Arial" w:hAnsi="Arial"/>
          <w:b/>
          <w:bCs/>
          <w:color w:val="1A6B5C"/>
          <w:sz w:val="72"/>
          <w:szCs w:val="72"/>
        </w:rPr>
        <w:t xml:space="preserve">PharmaConnect</w:t>
      </w:r>
    </w:p>
    <w:p>
      <w:pPr>
        <w:spacing w:after="400" w:before="0"/>
        <w:jc w:val="center"/>
      </w:pPr>
      <w:r>
        <w:rPr>
          <w:rFonts w:ascii="Arial" w:cs="Arial" w:eastAsia="Arial" w:hAnsi="Arial"/>
          <w:i/>
          <w:iCs/>
          <w:color w:val="0D4035"/>
          <w:sz w:val="32"/>
          <w:szCs w:val="32"/>
        </w:rPr>
        <w:t xml:space="preserve">The Pharmacy Operating System for Tanzania</w:t>
      </w:r>
    </w:p>
    <w:p>
      <w:pPr>
        <w:pBdr>
          <w:bottom w:val="single" w:color="D6F0E8" w:sz="8" w:space="1"/>
        </w:pBdr>
        <w:spacing w:after="120" w:before="0"/>
      </w:pPr>
      <w:r>
        <w:t xml:space="preserve"/>
      </w:r>
    </w:p>
    <w:p>
      <w:pPr>
        <w:spacing w:after="400" w:before="0"/>
      </w:pPr>
      <w:r>
        <w:t xml:space="preserve"/>
      </w:r>
    </w:p>
    <w:p>
      <w:pPr>
        <w:spacing w:after="160" w:before="0"/>
        <w:jc w:val="center"/>
      </w:pPr>
      <w:r>
        <w:rPr>
          <w:rFonts w:ascii="Arial" w:cs="Arial" w:eastAsia="Arial" w:hAnsi="Arial"/>
          <w:b/>
          <w:bCs/>
          <w:color w:val="0D4035"/>
          <w:sz w:val="28"/>
          <w:szCs w:val="28"/>
        </w:rPr>
        <w:t xml:space="preserve">Company Overview &amp; Product Pitch</w:t>
      </w:r>
    </w:p>
    <w:p>
      <w:pPr>
        <w:spacing w:after="400" w:before="0"/>
        <w:jc w:val="center"/>
      </w:pPr>
      <w:r>
        <w:rPr>
          <w:rFonts w:ascii="Arial" w:cs="Arial" w:eastAsia="Arial" w:hAnsi="Arial"/>
          <w:i/>
          <w:iCs/>
          <w:color w:val="64748B"/>
          <w:sz w:val="24"/>
          <w:szCs w:val="24"/>
        </w:rPr>
        <w:t xml:space="preserve">Built for Tanzania. Ready for East Africa.</w:t>
      </w:r>
    </w:p>
    <w:p>
      <w:pPr>
        <w:spacing w:after="1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6B5C" w:sz="24"/>
              <w:bottom w:val="none" w:color="FFFFFF" w:sz="0"/>
              <w:right w:val="none" w:color="FFFFFF" w:sz="0"/>
            </w:tcBorders>
            <w:shd w:fill="D6F0E8" w:val="clear"/>
            <w:tcMar>
              <w:top w:type="dxa" w:w="300"/>
              <w:left w:type="dxa" w:w="400"/>
              <w:bottom w:type="dxa" w:w="300"/>
              <w:right w:type="dxa" w:w="400"/>
            </w:tcMar>
          </w:tcPr>
          <w:p>
            <w:pPr>
              <w:spacing w:after="120" w:before="0"/>
            </w:pPr>
            <w:r>
              <w:rPr>
                <w:rFonts w:ascii="Arial" w:cs="Arial" w:eastAsia="Arial" w:hAnsi="Arial"/>
                <w:b/>
                <w:bCs/>
                <w:color w:val="0D4035"/>
                <w:sz w:val="24"/>
                <w:szCs w:val="24"/>
              </w:rPr>
              <w:t xml:space="preserve">Phase 1 is live.</w:t>
            </w:r>
          </w:p>
          <w:p>
            <w:r>
              <w:rPr>
                <w:rFonts w:ascii="Arial" w:cs="Arial" w:eastAsia="Arial" w:hAnsi="Arial"/>
                <w:color w:val="0D4035"/>
                <w:sz w:val="22"/>
                <w:szCs w:val="22"/>
              </w:rPr>
              <w:t xml:space="preserve">Tanzania's Universal Health Insurance mandate came into force August 2024. Every pharmacy participating in UHI reimbursements must have structured digital dispensing records. PharmaConnect is the compliant system of record.</w:t>
            </w:r>
          </w:p>
        </w:tc>
      </w:tr>
    </w:tbl>
    <w:p>
      <w:pPr>
        <w:spacing w:after="1600" w:before="0"/>
      </w:pPr>
      <w:r>
        <w:t xml:space="preserve"/>
      </w:r>
    </w:p>
    <w:p>
      <w:pPr>
        <w:jc w:val="center"/>
      </w:pPr>
      <w:r>
        <w:rPr>
          <w:rFonts w:ascii="Arial" w:cs="Arial" w:eastAsia="Arial" w:hAnsi="Arial"/>
          <w:color w:val="64748B"/>
          <w:sz w:val="18"/>
          <w:szCs w:val="18"/>
        </w:rPr>
        <w:t xml:space="preserve">Confidential  •  April 2026  •  Arusha, Tanzania</w:t>
      </w:r>
    </w:p>
    <w:p>
      <w:r>
        <w:br w:type="page"/>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0D4035"/>
          <w:sz w:val="36"/>
          <w:szCs w:val="36"/>
        </w:rPr>
        <w:t xml:space="preserve">Executive Summary</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is a pharmacy operating system purpose-built for Tanzania. We serve independent retail pharmacies, ADDOs, and wholesale facilities with a single platform that manages inventory, regulatory compliance, clinical dispensing, patient safety, analytics, and wholesale operations.</w:t>
      </w:r>
    </w:p>
    <w:p>
      <w:pPr>
        <w:spacing w:after="8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Phase 1 is live and operational. Tanzania's Universal Health Insurance Act came into force on 14 August 2024, creating a structural mandate for every participating pharmacy to maintain structured digital dispensing records. PharmaConnect is the only system in the market built from the ground up for Tanzania's specific regulatory environment — TMDA product classification, FEFO dispensing, AWaRe antibiotic stewardship, and NHIF/UHI readiness.</w:t>
      </w:r>
    </w:p>
    <w:p>
      <w:pPr>
        <w:spacing w:after="8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We are currently in active deployment in Arusha and building toward national coverage across all five tiers of the Tanzania pharmacy market.</w:t>
      </w:r>
    </w:p>
    <w:p>
      <w:pPr>
        <w:spacing w:after="200" w:before="0"/>
      </w:pPr>
      <w:r>
        <w:t xml:space="preserve"/>
      </w:r>
    </w:p>
    <w:p>
      <w:pPr>
        <w:pStyle w:val="Heading1"/>
        <w:spacing w:after="120" w:before="360"/>
      </w:pPr>
      <w:r>
        <w:rPr>
          <w:rFonts w:ascii="Arial" w:cs="Arial" w:eastAsia="Arial" w:hAnsi="Arial"/>
          <w:b/>
          <w:bCs/>
          <w:color w:val="0D4035"/>
          <w:sz w:val="36"/>
          <w:szCs w:val="36"/>
        </w:rPr>
        <w:t xml:space="preserve">The Problem</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Tanzania has over 8,500 regulated pharmaceutical dispensing facilities — approximately 5,000 retail pharmacies, 3,000 ADDOs (Accredited Drug Dispensing Outlets), and 500 wholesale facilities. The majority operate on paper records, basic point-of-sale tools, or software imported from other markets with no understanding of Tanzanian regulatory requirements.</w:t>
      </w:r>
    </w:p>
    <w:p>
      <w:pPr>
        <w:spacing w:after="120" w:before="0"/>
      </w:pPr>
      <w:r>
        <w:t xml:space="preserve"/>
      </w:r>
    </w:p>
    <w:p>
      <w:pPr>
        <w:spacing w:after="80" w:before="200"/>
      </w:pPr>
      <w:r>
        <w:rPr>
          <w:rFonts w:ascii="Arial" w:cs="Arial" w:eastAsia="Arial" w:hAnsi="Arial"/>
          <w:b/>
          <w:bCs/>
          <w:color w:val="0D4035"/>
          <w:sz w:val="24"/>
          <w:szCs w:val="24"/>
        </w:rPr>
        <w:t xml:space="preserve">What this means in practice</w:t>
      </w:r>
    </w:p>
    <w:p>
      <w:pPr>
        <w:pStyle w:val="ListParagraph"/>
        <w:numPr>
          <w:ilvl w:val="0"/>
          <w:numId w:val="2"/>
        </w:numPr>
        <w:spacing w:after="80" w:before="0"/>
      </w:pPr>
      <w:r>
        <w:rPr>
          <w:rFonts w:ascii="Arial" w:cs="Arial" w:eastAsia="Arial" w:hAnsi="Arial"/>
          <w:color w:val="0D4035"/>
          <w:sz w:val="22"/>
          <w:szCs w:val="22"/>
        </w:rPr>
        <w:t xml:space="preserve">Drug interactions go unchecked at dispensing. A dispenser cannot know in real time whether two drugs being sold together are contraindicated.</w:t>
      </w:r>
    </w:p>
    <w:p>
      <w:pPr>
        <w:pStyle w:val="ListParagraph"/>
        <w:numPr>
          <w:ilvl w:val="0"/>
          <w:numId w:val="2"/>
        </w:numPr>
        <w:spacing w:after="80" w:before="0"/>
      </w:pPr>
      <w:r>
        <w:rPr>
          <w:rFonts w:ascii="Arial" w:cs="Arial" w:eastAsia="Arial" w:hAnsi="Arial"/>
          <w:color w:val="0D4035"/>
          <w:sz w:val="22"/>
          <w:szCs w:val="22"/>
        </w:rPr>
        <w:t xml:space="preserve">TMDA compliance tracking is entirely manual. Licence renewals, staff credential expirations, and equipment certifications are tracked on paper or not at all.</w:t>
      </w:r>
    </w:p>
    <w:p>
      <w:pPr>
        <w:pStyle w:val="ListParagraph"/>
        <w:numPr>
          <w:ilvl w:val="0"/>
          <w:numId w:val="2"/>
        </w:numPr>
        <w:spacing w:after="80" w:before="0"/>
      </w:pPr>
      <w:r>
        <w:rPr>
          <w:rFonts w:ascii="Arial" w:cs="Arial" w:eastAsia="Arial" w:hAnsi="Arial"/>
          <w:color w:val="0D4035"/>
          <w:sz w:val="22"/>
          <w:szCs w:val="22"/>
        </w:rPr>
        <w:t xml:space="preserve">Inventory expires without visibility. Without batch-level expiry tracking and FEFO dispensing logic, pharmacies routinely lose stock to expiry.</w:t>
      </w:r>
    </w:p>
    <w:p>
      <w:pPr>
        <w:pStyle w:val="ListParagraph"/>
        <w:numPr>
          <w:ilvl w:val="0"/>
          <w:numId w:val="2"/>
        </w:numPr>
        <w:spacing w:after="80" w:before="0"/>
      </w:pPr>
      <w:r>
        <w:rPr>
          <w:rFonts w:ascii="Arial" w:cs="Arial" w:eastAsia="Arial" w:hAnsi="Arial"/>
          <w:color w:val="0D4035"/>
          <w:sz w:val="22"/>
          <w:szCs w:val="22"/>
        </w:rPr>
        <w:t xml:space="preserve">NHIF and UHI claims cannot be processed. Structured dispensing records — ICD codes, product codes, patient identifiers — are required for reimbursement but are captured nowhere.</w:t>
      </w:r>
    </w:p>
    <w:p>
      <w:pPr>
        <w:pStyle w:val="ListParagraph"/>
        <w:numPr>
          <w:ilvl w:val="0"/>
          <w:numId w:val="2"/>
        </w:numPr>
        <w:spacing w:after="80" w:before="0"/>
      </w:pPr>
      <w:r>
        <w:rPr>
          <w:rFonts w:ascii="Arial" w:cs="Arial" w:eastAsia="Arial" w:hAnsi="Arial"/>
          <w:color w:val="0D4035"/>
          <w:sz w:val="22"/>
          <w:szCs w:val="22"/>
        </w:rPr>
        <w:t xml:space="preserve">Wholesale networks operate in silos. Retail pharmacies have no visibility into wholesale availability, and wholesale facilities cannot manage orders, delivery, or receivables digitally.</w:t>
      </w:r>
    </w:p>
    <w:p>
      <w:pPr>
        <w:pStyle w:val="ListParagraph"/>
        <w:numPr>
          <w:ilvl w:val="0"/>
          <w:numId w:val="2"/>
        </w:numPr>
        <w:spacing w:after="80" w:before="0"/>
      </w:pPr>
      <w:r>
        <w:rPr>
          <w:rFonts w:ascii="Arial" w:cs="Arial" w:eastAsia="Arial" w:hAnsi="Arial"/>
          <w:color w:val="0D4035"/>
          <w:sz w:val="22"/>
          <w:szCs w:val="22"/>
        </w:rPr>
        <w:t xml:space="preserve">Rural pharmacists have no access to clinical guidance. TMDA updates, NEMLIT changes, and drug safety bulletins do not reach outlying facilities in real time.</w:t>
      </w:r>
    </w:p>
    <w:p>
      <w:pPr>
        <w:pStyle w:val="ListParagraph"/>
        <w:numPr>
          <w:ilvl w:val="0"/>
          <w:numId w:val="2"/>
        </w:numPr>
        <w:spacing w:after="80" w:before="0"/>
      </w:pPr>
      <w:r>
        <w:rPr>
          <w:rFonts w:ascii="Arial" w:cs="Arial" w:eastAsia="Arial" w:hAnsi="Arial"/>
          <w:color w:val="0D4035"/>
          <w:sz w:val="22"/>
          <w:szCs w:val="22"/>
        </w:rPr>
        <w:t xml:space="preserve">Antibiotic stewardship is absent. WHO AWaRe classification of ACCESS, WATCH, and RESERVE antibiotics — mandatory under Tanzania NEMLIT 2021 — is invisible at the point of dispensing.</w:t>
      </w:r>
    </w:p>
    <w:p>
      <w:pPr>
        <w:spacing w:after="200" w:before="0"/>
      </w:pPr>
      <w:r>
        <w:t xml:space="preserve"/>
      </w:r>
    </w:p>
    <w:p>
      <w:pPr>
        <w:pStyle w:val="Heading1"/>
        <w:spacing w:after="120" w:before="360"/>
      </w:pPr>
      <w:r>
        <w:rPr>
          <w:rFonts w:ascii="Arial" w:cs="Arial" w:eastAsia="Arial" w:hAnsi="Arial"/>
          <w:b/>
          <w:bCs/>
          <w:color w:val="0D4035"/>
          <w:sz w:val="36"/>
          <w:szCs w:val="36"/>
        </w:rPr>
        <w:t xml:space="preserve">The Solution</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is a cloud-based, offline-first pharmacy operating system that works on any smartphone or computer with no additional hardware. Every core function works without internet connectivity and syncs automatically when a connection is restored — making it viable in Arusha's urban core, in regional district towns, and in rural dispensaries alike.</w:t>
      </w:r>
    </w:p>
    <w:p>
      <w:pPr>
        <w:spacing w:after="160" w:before="0"/>
      </w:pPr>
      <w:r>
        <w:t xml:space="preserve"/>
      </w:r>
    </w:p>
    <w:p>
      <w:pPr>
        <w:pStyle w:val="Heading2"/>
        <w:spacing w:after="80" w:before="280"/>
      </w:pPr>
      <w:r>
        <w:rPr>
          <w:rFonts w:ascii="Arial" w:cs="Arial" w:eastAsia="Arial" w:hAnsi="Arial"/>
          <w:b/>
          <w:bCs/>
          <w:color w:val="1A6B5C"/>
          <w:sz w:val="28"/>
          <w:szCs w:val="28"/>
        </w:rPr>
        <w:t xml:space="preserve">What is live today — Phase 1</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8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r>
      <w:tr>
        <w:tc>
          <w:tcPr>
            <w:tcW w:type="dxa" w:w="2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Dashboard</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Real-time pharmacy health score: stock value, expiry risk, compliance status, sales summary</w:t>
            </w:r>
          </w:p>
        </w:tc>
      </w:tr>
      <w:tr>
        <w:tc>
          <w:tcPr>
            <w:tcW w:type="dxa" w:w="2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Inventory</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Batch-level stock management, FEFO dispensing order, expiry alerts, supplier management, barcode scanning, stock adjustments with photo evidence, offline sync</w:t>
            </w:r>
          </w:p>
        </w:tc>
      </w:tr>
      <w:tr>
        <w:tc>
          <w:tcPr>
            <w:tcW w:type="dxa" w:w="2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Compliance Tracker</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Automated tracking of TMDA licences, insurance, equipment calibration, staff credentials. Colour-coded status, document upload, alert notifications via SMS and email</w:t>
            </w:r>
          </w:p>
        </w:tc>
      </w:tr>
      <w:tr>
        <w:tc>
          <w:tcPr>
            <w:tcW w:type="dxa" w:w="2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Dispensing</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Full dispensing workflow with receipt generation, payment method recording, void management, and PIC PIN override for controlled substances</w:t>
            </w:r>
          </w:p>
        </w:tc>
      </w:tr>
      <w:tr>
        <w:tc>
          <w:tcPr>
            <w:tcW w:type="dxa" w:w="2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Patient Safety</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Session-based drug interaction checker, contraindication alerts, dose calculator (Clark's rule for paediatrics), AWaRe antibiotic flags, NCD counselling hints</w:t>
            </w:r>
          </w:p>
        </w:tc>
      </w:tr>
      <w:tr>
        <w:tc>
          <w:tcPr>
            <w:tcW w:type="dxa" w:w="2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Analytics</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Revenue trends, top dispensed products, inventory movement, expiry risk dashboard, early-preview forecasting</w:t>
            </w:r>
          </w:p>
        </w:tc>
      </w:tr>
      <w:tr>
        <w:tc>
          <w:tcPr>
            <w:tcW w:type="dxa" w:w="2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Knowledge Hub</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Clinical articles, TMDA regulatory updates, drug safety bulletins. Email subscription with unsubscribe management</w:t>
            </w:r>
          </w:p>
        </w:tc>
      </w:tr>
      <w:tr>
        <w:tc>
          <w:tcPr>
            <w:tcW w:type="dxa" w:w="2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catalogue, B2B order management, picking and packing workflows, delivery staff management, intake recording</w:t>
            </w:r>
          </w:p>
        </w:tc>
      </w:tr>
      <w:tr>
        <w:tc>
          <w:tcPr>
            <w:tcW w:type="dxa" w:w="2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Attendance</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Staff attendance tracking with role-based visibility</w:t>
            </w:r>
          </w:p>
        </w:tc>
      </w:tr>
      <w:tr>
        <w:tc>
          <w:tcPr>
            <w:tcW w:type="dxa" w:w="2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Settings &amp; Team</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User management, role assignment, subscription management, pharmacy profile</w:t>
            </w:r>
          </w:p>
        </w:tc>
      </w:tr>
    </w:tbl>
    <w:p>
      <w:pPr>
        <w:spacing w:after="200" w:before="0"/>
      </w:pPr>
      <w:r>
        <w:t xml:space="preserve"/>
      </w:r>
    </w:p>
    <w:p>
      <w:pPr>
        <w:pStyle w:val="Heading2"/>
        <w:spacing w:after="80" w:before="280"/>
      </w:pPr>
      <w:r>
        <w:rPr>
          <w:rFonts w:ascii="Arial" w:cs="Arial" w:eastAsia="Arial" w:hAnsi="Arial"/>
          <w:b/>
          <w:bCs/>
          <w:color w:val="1A6B5C"/>
          <w:sz w:val="28"/>
          <w:szCs w:val="28"/>
        </w:rPr>
        <w:t xml:space="preserve">Patient Safety — What sets us apart</w:t>
      </w:r>
    </w:p>
    <w:p>
      <w:pPr>
        <w:spacing w:after="140" w:before="0"/>
        <w:jc w:val="left"/>
      </w:pPr>
      <w:r>
        <w:rPr>
          <w:rFonts w:ascii="Arial" w:cs="Arial" w:eastAsia="Arial" w:hAnsi="Arial"/>
          <w:b w:val="false"/>
          <w:bCs w:val="false"/>
          <w:i w:val="false"/>
          <w:iCs w:val="false"/>
          <w:color w:val="0D4035"/>
          <w:sz w:val="22"/>
          <w:szCs w:val="22"/>
        </w:rPr>
        <w:t xml:space="preserve">No pharmacy management system currently available in the Tanzanian market offers clinical decision support at the point of dispensing. PharmaConnect's patient safety layer operates in real time as a dispenser builds a sale:</w:t>
      </w:r>
    </w:p>
    <w:p>
      <w:pPr>
        <w:spacing w:after="80" w:before="0"/>
      </w:pPr>
      <w:r>
        <w:t xml:space="preserve"/>
      </w:r>
    </w:p>
    <w:p>
      <w:pPr>
        <w:pStyle w:val="ListParagraph"/>
        <w:numPr>
          <w:ilvl w:val="0"/>
          <w:numId w:val="2"/>
        </w:numPr>
        <w:spacing w:after="80" w:before="0"/>
      </w:pPr>
      <w:r>
        <w:rPr>
          <w:rFonts w:ascii="Arial" w:cs="Arial" w:eastAsia="Arial" w:hAnsi="Arial"/>
          <w:color w:val="0D4035"/>
          <w:sz w:val="22"/>
          <w:szCs w:val="22"/>
        </w:rPr>
        <w:t xml:space="preserve">Drug interaction checker using a structured database of WHO/BNF-sourced interaction rules with severity levels (MAJOR, MODERATE, MINOR, CONTRAINDICATED). MAJOR and CONTRAINDICATED pairs require a PIC PIN override and are logged permanently.</w:t>
      </w:r>
    </w:p>
    <w:p>
      <w:pPr>
        <w:pStyle w:val="ListParagraph"/>
        <w:numPr>
          <w:ilvl w:val="0"/>
          <w:numId w:val="2"/>
        </w:numPr>
        <w:spacing w:after="80" w:before="0"/>
      </w:pPr>
      <w:r>
        <w:rPr>
          <w:rFonts w:ascii="Arial" w:cs="Arial" w:eastAsia="Arial" w:hAnsi="Arial"/>
          <w:color w:val="0D4035"/>
          <w:sz w:val="22"/>
          <w:szCs w:val="22"/>
        </w:rPr>
        <w:t xml:space="preserve">Contraindication alerts for pregnancy, renal impairment, hepatic impairment, age-related cautions, allergy classes, and clinical diagnoses.</w:t>
      </w:r>
    </w:p>
    <w:p>
      <w:pPr>
        <w:pStyle w:val="ListParagraph"/>
        <w:numPr>
          <w:ilvl w:val="0"/>
          <w:numId w:val="2"/>
        </w:numPr>
        <w:spacing w:after="80" w:before="0"/>
      </w:pPr>
      <w:r>
        <w:rPr>
          <w:rFonts w:ascii="Arial" w:cs="Arial" w:eastAsia="Arial" w:hAnsi="Arial"/>
          <w:color w:val="0D4035"/>
          <w:sz w:val="22"/>
          <w:szCs w:val="22"/>
        </w:rPr>
        <w:t xml:space="preserve">Paediatric dose calculator using Clark's rule (weight-based) with the patient's weight entered at session start.</w:t>
      </w:r>
    </w:p>
    <w:p>
      <w:pPr>
        <w:pStyle w:val="ListParagraph"/>
        <w:numPr>
          <w:ilvl w:val="0"/>
          <w:numId w:val="2"/>
        </w:numPr>
        <w:spacing w:after="80" w:before="0"/>
      </w:pPr>
      <w:r>
        <w:rPr>
          <w:rFonts w:ascii="Arial" w:cs="Arial" w:eastAsia="Arial" w:hAnsi="Arial"/>
          <w:color w:val="0D4035"/>
          <w:sz w:val="22"/>
          <w:szCs w:val="22"/>
        </w:rPr>
        <w:t xml:space="preserve">AWaRe antibiotic classification badges at dispensing — WATCH and RESERVE antibiotics are flagged in line with Tanzania NEMLIT 2021 and WHO AWaRe framework.</w:t>
      </w:r>
    </w:p>
    <w:p>
      <w:pPr>
        <w:pStyle w:val="ListParagraph"/>
        <w:numPr>
          <w:ilvl w:val="0"/>
          <w:numId w:val="2"/>
        </w:numPr>
        <w:spacing w:after="80" w:before="0"/>
      </w:pPr>
      <w:r>
        <w:rPr>
          <w:rFonts w:ascii="Arial" w:cs="Arial" w:eastAsia="Arial" w:hAnsi="Arial"/>
          <w:color w:val="0D4035"/>
          <w:sz w:val="22"/>
          <w:szCs w:val="22"/>
        </w:rPr>
        <w:t xml:space="preserve">NCD counselling hints for patients with hypertension, diabetes, asthma, or epilepsy — practical reminders surfaced automatically when relevant drugs are dispensed.</w:t>
      </w:r>
    </w:p>
    <w:p>
      <w:pPr>
        <w:pStyle w:val="ListParagraph"/>
        <w:numPr>
          <w:ilvl w:val="0"/>
          <w:numId w:val="2"/>
        </w:numPr>
        <w:spacing w:after="80" w:before="0"/>
      </w:pPr>
      <w:r>
        <w:rPr>
          <w:rFonts w:ascii="Arial" w:cs="Arial" w:eastAsia="Arial" w:hAnsi="Arial"/>
          <w:color w:val="0D4035"/>
          <w:sz w:val="22"/>
          <w:szCs w:val="22"/>
        </w:rPr>
        <w:t xml:space="preserve">All overrides are logged permanently with PIC identity, reason, and timestamp. Database-level triggers prevent deletion of any override record.</w:t>
      </w:r>
    </w:p>
    <w:p>
      <w:pPr>
        <w:spacing w:after="80" w:before="0"/>
      </w:pPr>
      <w:r>
        <w:t xml:space="preserve"/>
      </w:r>
    </w:p>
    <w:tbl>
      <w:tblPr>
        <w:tblW w:type="dxa" w:w="9026"/>
        <w:tblBorders>
          <w:top w:val="none" w:color="FFFFFF" w:sz="0"/>
          <w:left w:val="single" w:color="1A6B5C"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F0E8" w:val="clear"/>
            <w:tcMar>
              <w:top w:type="dxa" w:w="120"/>
              <w:left w:type="dxa" w:w="200"/>
              <w:bottom w:type="dxa" w:w="120"/>
              <w:right w:type="dxa" w:w="200"/>
            </w:tcMar>
          </w:tcPr>
          <w:p>
            <w:r>
              <w:rPr>
                <w:rFonts w:ascii="Arial" w:cs="Arial" w:eastAsia="Arial" w:hAnsi="Arial"/>
                <w:i/>
                <w:iCs/>
                <w:color w:val="0D4035"/>
                <w:sz w:val="22"/>
                <w:szCs w:val="22"/>
              </w:rPr>
              <w:t xml:space="preserve">Patient safety data is session-based only. No persistent patient records are stored. PharmaConnect complies with Tanzania's data minimisation requirements under the Personal Data Protection Act 2022.</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Market Opportunity</w:t>
      </w:r>
    </w:p>
    <w:p>
      <w:pPr>
        <w:pBdr>
          <w:bottom w:val="single" w:color="D6F0E8" w:sz="6" w:space="1"/>
        </w:pBd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3213"/>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facilities</w:t>
            </w:r>
          </w:p>
        </w:tc>
        <w:tc>
          <w:tcPr>
            <w:tcW w:type="dxa" w:w="3213"/>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Retail pharmacies</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~5,000</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STANDARD, PREMIUM, ENTERPRISE tiers</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ADDOs</w:t>
            </w:r>
          </w:p>
        </w:tc>
        <w:tc>
          <w:tcPr>
            <w:tcW w:type="dxa" w:w="3213"/>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~3,000</w:t>
            </w:r>
          </w:p>
        </w:tc>
        <w:tc>
          <w:tcPr>
            <w:tcW w:type="dxa" w:w="3213"/>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ADDO tier; basic dispensing + compliance</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facilities</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~500</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ENTERPRISE tiers</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Total Tanzania</w:t>
            </w:r>
          </w:p>
        </w:tc>
        <w:tc>
          <w:tcPr>
            <w:tcW w:type="dxa" w:w="3213"/>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~8,500</w:t>
            </w:r>
          </w:p>
        </w:tc>
        <w:tc>
          <w:tcPr>
            <w:tcW w:type="dxa" w:w="3213"/>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Primary market</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East Africa expansion</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Kenya, Uganda, Rwanda</w:t>
            </w:r>
          </w:p>
        </w:tc>
        <w:tc>
          <w:tcPr>
            <w:tcW w:type="dxa" w:w="3213"/>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Phase 3+ exportable model</w:t>
            </w:r>
          </w:p>
        </w:tc>
      </w:tr>
    </w:tbl>
    <w:p>
      <w:pPr>
        <w:spacing w:after="160" w:before="0"/>
      </w:pPr>
      <w:r>
        <w:t xml:space="preserve"/>
      </w:r>
    </w:p>
    <w:p>
      <w:pPr>
        <w:spacing w:after="80" w:before="200"/>
      </w:pPr>
      <w:r>
        <w:rPr>
          <w:rFonts w:ascii="Arial" w:cs="Arial" w:eastAsia="Arial" w:hAnsi="Arial"/>
          <w:b/>
          <w:bCs/>
          <w:color w:val="0D4035"/>
          <w:sz w:val="24"/>
          <w:szCs w:val="24"/>
        </w:rPr>
        <w:t xml:space="preserve">Why now</w:t>
      </w:r>
    </w:p>
    <w:p>
      <w:pPr>
        <w:pStyle w:val="ListParagraph"/>
        <w:numPr>
          <w:ilvl w:val="0"/>
          <w:numId w:val="2"/>
        </w:numPr>
        <w:spacing w:after="80" w:before="0"/>
      </w:pPr>
      <w:r>
        <w:rPr>
          <w:rFonts w:ascii="Arial" w:cs="Arial" w:eastAsia="Arial" w:hAnsi="Arial"/>
          <w:color w:val="0D4035"/>
          <w:sz w:val="22"/>
          <w:szCs w:val="22"/>
        </w:rPr>
        <w:t xml:space="preserve">Tanzania's Universal Health Insurance Act came into force 14 August 2024. Every pharmacy participating in UHI reimbursements must submit structured dispensing data. This is a compliance mandate, not an option.</w:t>
      </w:r>
    </w:p>
    <w:p>
      <w:pPr>
        <w:pStyle w:val="ListParagraph"/>
        <w:numPr>
          <w:ilvl w:val="0"/>
          <w:numId w:val="2"/>
        </w:numPr>
        <w:spacing w:after="80" w:before="0"/>
      </w:pPr>
      <w:r>
        <w:rPr>
          <w:rFonts w:ascii="Arial" w:cs="Arial" w:eastAsia="Arial" w:hAnsi="Arial"/>
          <w:color w:val="0D4035"/>
          <w:sz w:val="22"/>
          <w:szCs w:val="22"/>
        </w:rPr>
        <w:t xml:space="preserve">TIRA (Tanzania Insurance Regulatory Authority) is integrating its digital platform with NIDA, NHIF, and the Ministry of Health. Pharmacies that are not digitised will be excluded from the UHI reimbursement network.</w:t>
      </w:r>
    </w:p>
    <w:p>
      <w:pPr>
        <w:pStyle w:val="ListParagraph"/>
        <w:numPr>
          <w:ilvl w:val="0"/>
          <w:numId w:val="2"/>
        </w:numPr>
        <w:spacing w:after="80" w:before="0"/>
      </w:pPr>
      <w:r>
        <w:rPr>
          <w:rFonts w:ascii="Arial" w:cs="Arial" w:eastAsia="Arial" w:hAnsi="Arial"/>
          <w:color w:val="0D4035"/>
          <w:sz w:val="22"/>
          <w:szCs w:val="22"/>
        </w:rPr>
        <w:t xml:space="preserve">TMDA is rolling out its Integrated Regulatory Information Management System (IRIMS). Pharmacy licencing interactions are moving online.</w:t>
      </w:r>
    </w:p>
    <w:p>
      <w:pPr>
        <w:pStyle w:val="ListParagraph"/>
        <w:numPr>
          <w:ilvl w:val="0"/>
          <w:numId w:val="2"/>
        </w:numPr>
        <w:spacing w:after="80" w:before="0"/>
      </w:pPr>
      <w:r>
        <w:rPr>
          <w:rFonts w:ascii="Arial" w:cs="Arial" w:eastAsia="Arial" w:hAnsi="Arial"/>
          <w:color w:val="0D4035"/>
          <w:sz w:val="22"/>
          <w:szCs w:val="22"/>
        </w:rPr>
        <w:t xml:space="preserve">Tanzania's NCD burden is rising. Hypertension, diabetes, and HIV require chronic dispensing management that paper-based systems cannot provide.</w:t>
      </w:r>
    </w:p>
    <w:p>
      <w:pPr>
        <w:spacing w:after="160" w:before="0"/>
      </w:pPr>
      <w:r>
        <w:t xml:space="preserve"/>
      </w:r>
    </w:p>
    <w:p>
      <w:pPr>
        <w:spacing w:after="80" w:before="200"/>
      </w:pPr>
      <w:r>
        <w:rPr>
          <w:rFonts w:ascii="Arial" w:cs="Arial" w:eastAsia="Arial" w:hAnsi="Arial"/>
          <w:b/>
          <w:bCs/>
          <w:color w:val="0D4035"/>
          <w:sz w:val="24"/>
          <w:szCs w:val="24"/>
        </w:rPr>
        <w:t xml:space="preserve">Revenue scenario</w:t>
      </w:r>
    </w:p>
    <w:p>
      <w:pPr>
        <w:spacing w:after="140" w:before="0"/>
        <w:jc w:val="left"/>
      </w:pPr>
      <w:r>
        <w:rPr>
          <w:rFonts w:ascii="Arial" w:cs="Arial" w:eastAsia="Arial" w:hAnsi="Arial"/>
          <w:b w:val="false"/>
          <w:bCs w:val="false"/>
          <w:i w:val="false"/>
          <w:iCs w:val="false"/>
          <w:color w:val="0D4035"/>
          <w:sz w:val="22"/>
          <w:szCs w:val="22"/>
        </w:rPr>
        <w:t xml:space="preserve">At 500 active pharmacies across a blended average of TZS 65,000 per month, monthly recurring revenue reaches TZS 32.5 million (~USD 12,500). At 1,000 pharmacies the figure doubles. These are conservative targets given a total addressable market of 8,500 facilities.</w:t>
      </w:r>
    </w:p>
    <w:p>
      <w:pPr>
        <w:spacing w:after="200" w:before="0"/>
      </w:pPr>
      <w:r>
        <w:t xml:space="preserve"/>
      </w:r>
    </w:p>
    <w:p>
      <w:pPr>
        <w:pStyle w:val="Heading1"/>
        <w:spacing w:after="120" w:before="360"/>
      </w:pPr>
      <w:r>
        <w:rPr>
          <w:rFonts w:ascii="Arial" w:cs="Arial" w:eastAsia="Arial" w:hAnsi="Arial"/>
          <w:b/>
          <w:bCs/>
          <w:color w:val="0D4035"/>
          <w:sz w:val="36"/>
          <w:szCs w:val="36"/>
        </w:rPr>
        <w:t xml:space="preserve">Pricing &amp; Subscription Tiers</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operates on a SaaS subscription model. All tiers include core inventory, compliance, and analytics. Clinical and advanced features are tier-gated. Annual billing offers two months free.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600"/>
        <w:gridCol w:w="2226"/>
      </w:tblGrid>
      <w:tr>
        <w:trPr>
          <w:tblHeader/>
        </w:trPr>
        <w:tc>
          <w:tcPr>
            <w:tcW w:type="dxa" w:w="1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(TZS)</w:t>
            </w:r>
          </w:p>
        </w:tc>
        <w:tc>
          <w:tcPr>
            <w:tcW w:type="dxa" w:w="18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Annual (TZS)</w:t>
            </w:r>
          </w:p>
        </w:tc>
        <w:tc>
          <w:tcPr>
            <w:tcW w:type="dxa" w:w="1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Users</w:t>
            </w:r>
          </w:p>
        </w:tc>
        <w:tc>
          <w:tcPr>
            <w:tcW w:type="dxa" w:w="22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w:t>
            </w:r>
          </w:p>
        </w:tc>
      </w:tr>
      <w:tr>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ADDO</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20,000</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200,000</w:t>
            </w:r>
          </w:p>
        </w:tc>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2</w:t>
            </w:r>
          </w:p>
        </w:tc>
        <w:tc>
          <w:tcPr>
            <w:tcW w:type="dxa" w:w="22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Basic dispensing, compliance</w:t>
            </w:r>
          </w:p>
        </w:tc>
      </w:tr>
      <w:tr>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STANDARD</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55,000</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550,000</w:t>
            </w:r>
          </w:p>
        </w:tc>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4</w:t>
            </w:r>
          </w:p>
        </w:tc>
        <w:tc>
          <w:tcPr>
            <w:tcW w:type="dxa" w:w="22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Full clinical dispensing</w:t>
            </w:r>
          </w:p>
        </w:tc>
      </w:tr>
      <w:tr>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PREMIUM</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75,000</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750,000</w:t>
            </w:r>
          </w:p>
        </w:tc>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6</w:t>
            </w:r>
          </w:p>
        </w:tc>
        <w:tc>
          <w:tcPr>
            <w:tcW w:type="dxa" w:w="22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Advanced analytics, forecasting</w:t>
            </w:r>
          </w:p>
        </w:tc>
      </w:tr>
      <w:tr>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100,000</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1,000,000</w:t>
            </w:r>
          </w:p>
        </w:tc>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8 + delivery</w:t>
            </w:r>
          </w:p>
        </w:tc>
        <w:tc>
          <w:tcPr>
            <w:tcW w:type="dxa" w:w="22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operations</w:t>
            </w:r>
          </w:p>
        </w:tc>
      </w:tr>
      <w:tr>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ENTERPRISE</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Negotiated</w:t>
            </w:r>
          </w:p>
        </w:tc>
        <w:tc>
          <w:tcPr>
            <w:tcW w:type="dxa" w:w="18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Negotiated</w:t>
            </w:r>
          </w:p>
        </w:tc>
        <w:tc>
          <w:tcPr>
            <w:tcW w:type="dxa" w:w="1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Unlimited</w:t>
            </w:r>
          </w:p>
        </w:tc>
        <w:tc>
          <w:tcPr>
            <w:tcW w:type="dxa" w:w="22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Multi-outlet chains</w:t>
            </w:r>
          </w:p>
        </w:tc>
      </w:tr>
      <w:tr>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HYBRID Add-on</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130,000 total</w:t>
            </w:r>
          </w:p>
        </w:tc>
        <w:tc>
          <w:tcPr>
            <w:tcW w:type="dxa" w:w="18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1,300,000</w:t>
            </w:r>
          </w:p>
        </w:tc>
        <w:tc>
          <w:tcPr>
            <w:tcW w:type="dxa" w:w="1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t>
            </w:r>
          </w:p>
        </w:tc>
        <w:tc>
          <w:tcPr>
            <w:tcW w:type="dxa" w:w="22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Retail + wholesale combined</w:t>
            </w:r>
          </w:p>
        </w:tc>
      </w:tr>
    </w:tbl>
    <w:p>
      <w:pPr>
        <w:spacing w:after="120" w:before="0"/>
      </w:pPr>
      <w:r>
        <w:t xml:space="preserve"/>
      </w:r>
    </w:p>
    <w:p>
      <w:pPr>
        <w:spacing w:after="140" w:before="0"/>
        <w:jc w:val="left"/>
      </w:pPr>
      <w:r>
        <w:rPr>
          <w:rFonts w:ascii="Arial" w:cs="Arial" w:eastAsia="Arial" w:hAnsi="Arial"/>
          <w:b w:val="false"/>
          <w:bCs w:val="false"/>
          <w:i/>
          <w:iCs/>
          <w:color w:val="64748B"/>
          <w:sz w:val="22"/>
          <w:szCs w:val="22"/>
        </w:rPr>
        <w:t xml:space="preserve">Annual billing: 10 × monthly rate (2 months free). Enterprise pricing is negotiated directly.</w:t>
      </w:r>
    </w:p>
    <w:p>
      <w:pPr>
        <w:spacing w:after="200" w:before="0"/>
      </w:pPr>
      <w:r>
        <w:t xml:space="preserve"/>
      </w:r>
    </w:p>
    <w:p>
      <w:pPr>
        <w:pStyle w:val="Heading1"/>
        <w:spacing w:after="120" w:before="360"/>
      </w:pPr>
      <w:r>
        <w:rPr>
          <w:rFonts w:ascii="Arial" w:cs="Arial" w:eastAsia="Arial" w:hAnsi="Arial"/>
          <w:b/>
          <w:bCs/>
          <w:color w:val="0D4035"/>
          <w:sz w:val="36"/>
          <w:szCs w:val="36"/>
        </w:rPr>
        <w:t xml:space="preserve">Regulatory Positioning</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is designed to align with Tanzania's pharmaceutical regulatory landscape from the ground up. No configuration or customisation is required for compliance.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Regulatory area</w:t>
            </w:r>
          </w:p>
        </w:tc>
        <w:tc>
          <w:tcPr>
            <w:tcW w:type="dxa" w:w="66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PharmaConnect addresses it</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TMDA compliance</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Built-in compliance tracker for all TMDA licence types, renewal dates, document storage, and automated alerts</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FEFO dispensing</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System enforces First Expired First Out batch selection at dispensing — the TMDA and WHO standard</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AWaRe antibiotics</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WHO AWaRe ACCESS/WATCH/RESERVE classification displayed at dispensing per NEMLIT 2021</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NHIF/UHI readiness</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Dispensing records capture ICD codes, product codes, and payment method. Structured for UHI claim submission in Phase 2</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EFDMS/VFD (TRA)</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Fiscal device compliance built into every transaction silently. No UI exposure per TRA guidelines. Protocol 2.1 target</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Override audit trail</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All PIC PIN overrides logged permanently. Database-level trigger prevents deletion — a permanent medical record</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PDPC (data protection)</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No persistent patient data. Session-based safety checks only. Data minimisation by design</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GSDP cold chain</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Cold chain temperature log schema ready; TMDA GSDP 2021 compliant data structure for refrigerated products</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Technology</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requires no additional hardware. A smartphone, tablet, or computer with a browser is sufficient. The system is designed for the infrastructure reality of Tanzanian towns and districts.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4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Architecture</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Offline-first. Core functions work with zero internet. Data queues locally and syncs when connected. No downtime for connectivity loss</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Frontend</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Progressive Web App (PWA). No app store installation required. Works on Android, iOS, and any browser</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Backend</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Node.js / Express / TypeScript on Railway. PostgreSQL database. JWT authentication with 7-day refresh rotation</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Hosting</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Railway (backend + database) and Vercel (frontend). Both platforms have African CDN nodes</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Communications</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Africa's Talking for SMS and WhatsApp. Resend for email. Compliance alerts, trial reminders, and knowledge bulletins</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Security</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Role-based access control across 11 distinct roles. All API routes authenticated. Sensitive actions require PIC PIN</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User Roles &amp; Access Control</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PharmaConnect supports 11 distinct user roles with granular permission boundaries. Every function in the system enforces role and tier checks at the API layer.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Tiers available</w:t>
            </w:r>
          </w:p>
        </w:tc>
        <w:tc>
          <w:tcPr>
            <w:tcW w:type="dxa" w:w="44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function</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Owner</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All tiers</w:t>
            </w:r>
          </w:p>
        </w:tc>
        <w:tc>
          <w:tcPr>
            <w:tcW w:type="dxa" w:w="4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Remote oversight, billing, user management</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Pharmacist in Charge (PIC)</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All tiers</w:t>
            </w:r>
          </w:p>
        </w:tc>
        <w:tc>
          <w:tcPr>
            <w:tcW w:type="dxa" w:w="4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Full clinical and operational control, PIC PIN authority</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Dispenser</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STANDARD, PREMIUM, ENTERPRISE</w:t>
            </w:r>
          </w:p>
        </w:tc>
        <w:tc>
          <w:tcPr>
            <w:tcW w:type="dxa" w:w="4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Retail dispensing with patient safety tools</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Cashier</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STANDARD, PREMIUM, ENTERPRISE</w:t>
            </w:r>
          </w:p>
        </w:tc>
        <w:tc>
          <w:tcPr>
            <w:tcW w:type="dxa" w:w="4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Payment completion on prepared sales</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Data Entry Clerk</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All tiers</w:t>
            </w:r>
          </w:p>
        </w:tc>
        <w:tc>
          <w:tcPr>
            <w:tcW w:type="dxa" w:w="4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Stock intake and supplier management only</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Manager</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ENTERPRISE</w:t>
            </w:r>
          </w:p>
        </w:tc>
        <w:tc>
          <w:tcPr>
            <w:tcW w:type="dxa" w:w="4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Full wholesale operations management</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Counter Staff</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ENTERPRISE</w:t>
            </w:r>
          </w:p>
        </w:tc>
        <w:tc>
          <w:tcPr>
            <w:tcW w:type="dxa" w:w="4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Order picking, intake, delivery confirmation</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Delivery Staff</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WHOLESALE, ENTERPRISE</w:t>
            </w:r>
          </w:p>
        </w:tc>
        <w:tc>
          <w:tcPr>
            <w:tcW w:type="dxa" w:w="4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Delivery status updates only</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Competitive Advantages</w:t>
      </w:r>
    </w:p>
    <w:p>
      <w:pPr>
        <w:pBdr>
          <w:bottom w:val="single" w:color="D6F0E8" w:sz="6" w:space="1"/>
        </w:pBd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c>
          <w:tcPr>
            <w:tcW w:type="dxa" w:w="66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Tanzania-first design</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TZS currency, TMDA regulatory framework, NEMLIT drug classification, AWaRe antibiotics, NHIF/UHI data structure — no imported system offers this</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Offline-first architecture</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Tanzania's connectivity outside Dar es Salaam and Arusha is unreliable. A system that fails without internet cannot serve the real market</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Patient safety at dispensing</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Drug interaction checking, contraindication alerts, and dose calculation at the point of sale. No local competitor offers this layer</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All-in-one platform</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Inventory + compliance + dispensing + wholesale + analytics in one subscription. No integration headaches, no multiple vendors</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UHI readiness</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Structured dispensing records with ICD codes from day one. Pharmacies using PharmaConnect are already building the data they will need for UHI claims</w:t>
            </w:r>
          </w:p>
        </w:tc>
      </w:tr>
      <w:tr>
        <w:tc>
          <w:tcPr>
            <w:tcW w:type="dxa" w:w="24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No hardware required</w:t>
            </w:r>
          </w:p>
        </w:tc>
        <w:tc>
          <w:tcPr>
            <w:tcW w:type="dxa" w:w="66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Any smartphone. Zero capital expenditure required from the pharmacy. Lowers the adoption barrier significantly</w:t>
            </w:r>
          </w:p>
        </w:tc>
      </w:tr>
      <w:tr>
        <w:tc>
          <w:tcPr>
            <w:tcW w:type="dxa" w:w="24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AWaRe stewardship</w:t>
            </w:r>
          </w:p>
        </w:tc>
        <w:tc>
          <w:tcPr>
            <w:tcW w:type="dxa" w:w="66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Automatic classification of WATCH and RESERVE antibiotics at dispensing. A differentiator with PICs who understand the NEMLIT</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Product Roadmap</w:t>
      </w:r>
    </w:p>
    <w:p>
      <w:pPr>
        <w:pBdr>
          <w:bottom w:val="single" w:color="D6F0E8" w:sz="6" w:space="1"/>
        </w:pBd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826"/>
      </w:tblGrid>
      <w:tr>
        <w:trPr>
          <w:tblHeader/>
        </w:trPr>
        <w:tc>
          <w:tcPr>
            <w:tcW w:type="dxa" w:w="12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68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1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bCs/>
                <w:color w:val="0D4035"/>
                <w:sz w:val="20"/>
                <w:szCs w:val="20"/>
              </w:rPr>
              <w:t xml:space="preserve">Phase 1</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bCs/>
                <w:color w:val="1A6B5C"/>
                <w:sz w:val="20"/>
                <w:szCs w:val="20"/>
              </w:rPr>
              <w:t xml:space="preserve">Live</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Dashboard, Inventory (FEFO, batch, expiry), Compliance Tracker, Dispensing with Patient Safety (interactions, AWaRe, dose calc), Analytics, Knowledge Hub, Wholesale basics, Attendance, Subscription management</w:t>
            </w:r>
          </w:p>
        </w:tc>
      </w:tr>
      <w:tr>
        <w:tc>
          <w:tcPr>
            <w:tcW w:type="dxa" w:w="1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bCs/>
                <w:color w:val="0D4035"/>
                <w:sz w:val="20"/>
                <w:szCs w:val="20"/>
              </w:rPr>
              <w:t xml:space="preserve">Phase 2</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Coming Soon</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CPD Tracker (PC MOU pending), NHIF/UHI Claims Module (Breeze API accreditation pending), Stock Exchange, Payment Gateway (M-Pesa / Flutterwave), Full Forecasting Engine, Pharmacovigilance ADR Reporting, Dispensing Daily Close, Wholesale Returns, Purchase Orders, Delivery Manifests, Per-client Pricing</w:t>
            </w:r>
          </w:p>
        </w:tc>
      </w:tr>
      <w:tr>
        <w:tc>
          <w:tcPr>
            <w:tcW w:type="dxa" w:w="12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bCs/>
                <w:color w:val="0D4035"/>
                <w:sz w:val="20"/>
                <w:szCs w:val="20"/>
              </w:rPr>
              <w:t xml:space="preserve">Phase 3</w:t>
            </w:r>
          </w:p>
        </w:tc>
        <w:tc>
          <w:tcPr>
            <w:tcW w:type="dxa" w:w="20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Planned</w:t>
            </w:r>
          </w:p>
        </w:tc>
        <w:tc>
          <w:tcPr>
            <w:tcW w:type="dxa" w:w="68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B2B Ordering Platform (closed network — retail orders from PharmaConnect wholesale only), Patient Mobile App (PDPC + MOH MOU required), Multi-outlet Enterprise Dashboard, Persistent Patient Records</w:t>
            </w:r>
          </w:p>
        </w:tc>
      </w:tr>
      <w:tr>
        <w:tc>
          <w:tcPr>
            <w:tcW w:type="dxa" w:w="12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bCs/>
                <w:color w:val="0D4035"/>
                <w:sz w:val="20"/>
                <w:szCs w:val="20"/>
              </w:rPr>
              <w:t xml:space="preserve">Phase 4</w:t>
            </w:r>
          </w:p>
        </w:tc>
        <w:tc>
          <w:tcPr>
            <w:tcW w:type="dxa" w:w="20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Planned</w:t>
            </w:r>
          </w:p>
        </w:tc>
        <w:tc>
          <w:tcPr>
            <w:tcW w:type="dxa" w:w="68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AI Safety Module (LLM-assisted drug counselling), Data Products (anonymised market intelligence), Regional Demand Analytics, AWaRe Consumption Reporting for TMDA</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Deferred Features — What Is Coming and Why It Is Not Here Yet</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The following features have been designed and scoped but are intentionally not built yet. Each has a specific dependency or regulatory gate that must be met first. None is a missing product decision — each is a deliberate choice to build on a stable foundation.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426"/>
            <w:tcBorders>
              <w:top w:val="single" w:color="D6F0E8" w:sz="1"/>
              <w:left w:val="single" w:color="D6F0E8" w:sz="1"/>
              <w:bottom w:val="single" w:color="D6F0E8" w:sz="1"/>
              <w:right w:val="single" w:color="D6F0E8" w:sz="1"/>
            </w:tcBorders>
            <w:shd w:fill="1A6B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Blocking dependency</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NHIF Claims Module</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NHIF Breeze API accreditation. Application submitted. Schema and data capture are ready.</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Prescription Management</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PC and TMDA joint digital prescription framework. Not yet published.</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Clinical OTC Symptom Tool</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PharmaConnect written clinical position statement. Internal review required.</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Persistent Patient Records</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PDPC registration as health data controller + MOH MOU. Both in progress.</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PC-Accredited CPD</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Pharmacy Council MOU for CPD accreditation. Engagement initiated.</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TMDA Controlled Substances Reporting</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TMDA electronic reporting system notification and approval.</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Pharmacovigilance ADR submission</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TMDA electronic ADR reporting integration. Schema and placeholder page built.</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Payment gateway (M-Pesa / Flutterwave)</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Phase 2. Manual payment confirmation in Phase 1.</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Patient App (mobile)</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Phase 3. Requires PDPC registration and MOH data sharing agreement.</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Cold chain temperature UI</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Schema built. UI deferred until GSDP audit demand from pharmacies confirms priority.</w:t>
            </w:r>
          </w:p>
        </w:tc>
      </w:tr>
      <w:tr>
        <w:tc>
          <w:tcPr>
            <w:tcW w:type="dxa" w:w="2600"/>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Adherence/refill SMS reminders</w:t>
            </w:r>
          </w:p>
        </w:tc>
        <w:tc>
          <w:tcPr>
            <w:tcW w:type="dxa" w:w="6426"/>
            <w:tcBorders>
              <w:top w:val="single" w:color="D6F0E8" w:sz="1"/>
              <w:left w:val="single" w:color="D6F0E8" w:sz="1"/>
              <w:bottom w:val="single" w:color="D6F0E8" w:sz="1"/>
              <w:right w:val="single" w:color="D6F0E8" w:sz="1"/>
            </w:tcBorders>
            <w:shd w:fill="FFFFFF" w:val="clear"/>
            <w:tcMar>
              <w:top w:type="dxa" w:w="80"/>
              <w:left w:type="dxa" w:w="120"/>
              <w:bottom w:type="dxa" w:w="80"/>
              <w:right w:type="dxa" w:w="120"/>
            </w:tcMar>
          </w:tcPr>
          <w:p>
            <w:r>
              <w:rPr>
                <w:rFonts w:ascii="Arial" w:cs="Arial" w:eastAsia="Arial" w:hAnsi="Arial"/>
                <w:b w:val="false"/>
                <w:bCs w:val="false"/>
                <w:color w:val="0D4035"/>
                <w:sz w:val="20"/>
                <w:szCs w:val="20"/>
              </w:rPr>
              <w:t xml:space="preserve">Requires 3–6 months of real dispensing data per pharmacy. Africa's Talking is ready.</w:t>
            </w:r>
          </w:p>
        </w:tc>
      </w:tr>
      <w:tr>
        <w:tc>
          <w:tcPr>
            <w:tcW w:type="dxa" w:w="2600"/>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AI drug counselling</w:t>
            </w:r>
          </w:p>
        </w:tc>
        <w:tc>
          <w:tcPr>
            <w:tcW w:type="dxa" w:w="6426"/>
            <w:tcBorders>
              <w:top w:val="single" w:color="D6F0E8" w:sz="1"/>
              <w:left w:val="single" w:color="D6F0E8" w:sz="1"/>
              <w:bottom w:val="single" w:color="D6F0E8" w:sz="1"/>
              <w:right w:val="single" w:color="D6F0E8" w:sz="1"/>
            </w:tcBorders>
            <w:shd w:fill="D6F0E8" w:val="clear"/>
            <w:tcMar>
              <w:top w:type="dxa" w:w="80"/>
              <w:left w:type="dxa" w:w="120"/>
              <w:bottom w:type="dxa" w:w="80"/>
              <w:right w:type="dxa" w:w="120"/>
            </w:tcMar>
          </w:tcPr>
          <w:p>
            <w:r>
              <w:rPr>
                <w:rFonts w:ascii="Arial" w:cs="Arial" w:eastAsia="Arial" w:hAnsi="Arial"/>
                <w:b w:val="false"/>
                <w:bCs w:val="false"/>
                <w:color w:val="0D4035"/>
                <w:sz w:val="20"/>
                <w:szCs w:val="20"/>
              </w:rPr>
              <w:t xml:space="preserve">Phase 4. Clinical governance policy and LLM contract required first.</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Go-to-Market Approach</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Phase 1 targets independent retail pharmacies and wholesale facilities in Arusha as the initial anchor market, expanding to Dar es Salaam, Mwanza, and Dodoma. The approach is direct and relationship-led.</w:t>
      </w:r>
    </w:p>
    <w:p>
      <w:pPr>
        <w:spacing w:after="120" w:before="0"/>
      </w:pPr>
      <w:r>
        <w:t xml:space="preserve"/>
      </w:r>
    </w:p>
    <w:p>
      <w:pPr>
        <w:spacing w:after="80" w:before="200"/>
      </w:pPr>
      <w:r>
        <w:rPr>
          <w:rFonts w:ascii="Arial" w:cs="Arial" w:eastAsia="Arial" w:hAnsi="Arial"/>
          <w:b/>
          <w:bCs/>
          <w:color w:val="0D4035"/>
          <w:sz w:val="24"/>
          <w:szCs w:val="24"/>
        </w:rPr>
        <w:t xml:space="preserve">Primary acquisition channels</w:t>
      </w:r>
    </w:p>
    <w:p>
      <w:pPr>
        <w:pStyle w:val="ListParagraph"/>
        <w:numPr>
          <w:ilvl w:val="0"/>
          <w:numId w:val="2"/>
        </w:numPr>
        <w:spacing w:after="80" w:before="0"/>
      </w:pPr>
      <w:r>
        <w:rPr>
          <w:rFonts w:ascii="Arial" w:cs="Arial" w:eastAsia="Arial" w:hAnsi="Arial"/>
          <w:color w:val="0D4035"/>
          <w:sz w:val="22"/>
          <w:szCs w:val="22"/>
        </w:rPr>
        <w:t xml:space="preserve">Direct outreach to Pharmacists in Charge and Owners via WhatsApp and phone in Arusha network</w:t>
      </w:r>
    </w:p>
    <w:p>
      <w:pPr>
        <w:pStyle w:val="ListParagraph"/>
        <w:numPr>
          <w:ilvl w:val="0"/>
          <w:numId w:val="2"/>
        </w:numPr>
        <w:spacing w:after="80" w:before="0"/>
      </w:pPr>
      <w:r>
        <w:rPr>
          <w:rFonts w:ascii="Arial" w:cs="Arial" w:eastAsia="Arial" w:hAnsi="Arial"/>
          <w:color w:val="0D4035"/>
          <w:sz w:val="22"/>
          <w:szCs w:val="22"/>
        </w:rPr>
        <w:t xml:space="preserve">Pharmacy Council and TMDA-adjacent events and CPD sessions where PICs gather</w:t>
      </w:r>
    </w:p>
    <w:p>
      <w:pPr>
        <w:pStyle w:val="ListParagraph"/>
        <w:numPr>
          <w:ilvl w:val="0"/>
          <w:numId w:val="2"/>
        </w:numPr>
        <w:spacing w:after="80" w:before="0"/>
      </w:pPr>
      <w:r>
        <w:rPr>
          <w:rFonts w:ascii="Arial" w:cs="Arial" w:eastAsia="Arial" w:hAnsi="Arial"/>
          <w:color w:val="0D4035"/>
          <w:sz w:val="22"/>
          <w:szCs w:val="22"/>
        </w:rPr>
        <w:t xml:space="preserve">Word of mouth from early adopter pharmacies — the pharmacy community in each town is small and tightly networked</w:t>
      </w:r>
    </w:p>
    <w:p>
      <w:pPr>
        <w:pStyle w:val="ListParagraph"/>
        <w:numPr>
          <w:ilvl w:val="0"/>
          <w:numId w:val="2"/>
        </w:numPr>
        <w:spacing w:after="80" w:before="0"/>
      </w:pPr>
      <w:r>
        <w:rPr>
          <w:rFonts w:ascii="Arial" w:cs="Arial" w:eastAsia="Arial" w:hAnsi="Arial"/>
          <w:color w:val="0D4035"/>
          <w:sz w:val="22"/>
          <w:szCs w:val="22"/>
        </w:rPr>
        <w:t xml:space="preserve">Targeted presence at MSD and supplier distribution points where pharmacies receive stock</w:t>
      </w:r>
    </w:p>
    <w:p>
      <w:pPr>
        <w:spacing w:after="120" w:before="0"/>
      </w:pPr>
      <w:r>
        <w:t xml:space="preserve"/>
      </w:r>
    </w:p>
    <w:p>
      <w:pPr>
        <w:spacing w:after="80" w:before="200"/>
      </w:pPr>
      <w:r>
        <w:rPr>
          <w:rFonts w:ascii="Arial" w:cs="Arial" w:eastAsia="Arial" w:hAnsi="Arial"/>
          <w:b/>
          <w:bCs/>
          <w:color w:val="0D4035"/>
          <w:sz w:val="24"/>
          <w:szCs w:val="24"/>
        </w:rPr>
        <w:t xml:space="preserve">Conversion approach</w:t>
      </w:r>
    </w:p>
    <w:p>
      <w:pPr>
        <w:pStyle w:val="ListParagraph"/>
        <w:numPr>
          <w:ilvl w:val="0"/>
          <w:numId w:val="2"/>
        </w:numPr>
        <w:spacing w:after="80" w:before="0"/>
      </w:pPr>
      <w:r>
        <w:rPr>
          <w:rFonts w:ascii="Arial" w:cs="Arial" w:eastAsia="Arial" w:hAnsi="Arial"/>
          <w:color w:val="0D4035"/>
          <w:sz w:val="22"/>
          <w:szCs w:val="22"/>
        </w:rPr>
        <w:t xml:space="preserve">30-day free trial. No credit card. No upfront commitment.</w:t>
      </w:r>
    </w:p>
    <w:p>
      <w:pPr>
        <w:pStyle w:val="ListParagraph"/>
        <w:numPr>
          <w:ilvl w:val="0"/>
          <w:numId w:val="2"/>
        </w:numPr>
        <w:spacing w:after="80" w:before="0"/>
      </w:pPr>
      <w:r>
        <w:rPr>
          <w:rFonts w:ascii="Arial" w:cs="Arial" w:eastAsia="Arial" w:hAnsi="Arial"/>
          <w:color w:val="0D4035"/>
          <w:sz w:val="22"/>
          <w:szCs w:val="22"/>
        </w:rPr>
        <w:t xml:space="preserve">WhatsApp-based onboarding and support for the first 30 days</w:t>
      </w:r>
    </w:p>
    <w:p>
      <w:pPr>
        <w:pStyle w:val="ListParagraph"/>
        <w:numPr>
          <w:ilvl w:val="0"/>
          <w:numId w:val="2"/>
        </w:numPr>
        <w:spacing w:after="80" w:before="0"/>
      </w:pPr>
      <w:r>
        <w:rPr>
          <w:rFonts w:ascii="Arial" w:cs="Arial" w:eastAsia="Arial" w:hAnsi="Arial"/>
          <w:color w:val="0D4035"/>
          <w:sz w:val="22"/>
          <w:szCs w:val="22"/>
        </w:rPr>
        <w:t xml:space="preserve">Upgrade path: ADDO → STANDARD → PREMIUM as pharmacy grows and needs more features</w:t>
      </w:r>
    </w:p>
    <w:p>
      <w:pPr>
        <w:pStyle w:val="ListParagraph"/>
        <w:numPr>
          <w:ilvl w:val="0"/>
          <w:numId w:val="2"/>
        </w:numPr>
        <w:spacing w:after="80" w:before="0"/>
      </w:pPr>
      <w:r>
        <w:rPr>
          <w:rFonts w:ascii="Arial" w:cs="Arial" w:eastAsia="Arial" w:hAnsi="Arial"/>
          <w:color w:val="0D4035"/>
          <w:sz w:val="22"/>
          <w:szCs w:val="22"/>
        </w:rPr>
        <w:t xml:space="preserve">Manual payment confirmation in Phase 1 via M-Pesa or bank transfer. Automated gateway in Phase 2.</w:t>
      </w:r>
    </w:p>
    <w:p>
      <w:pPr>
        <w:spacing w:after="120" w:before="0"/>
      </w:pPr>
      <w:r>
        <w:t xml:space="preserve"/>
      </w:r>
    </w:p>
    <w:tbl>
      <w:tblPr>
        <w:tblW w:type="dxa" w:w="9026"/>
        <w:tblBorders>
          <w:top w:val="none" w:color="FFFFFF" w:sz="0"/>
          <w:left w:val="single" w:color="1A6B5C"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F0E8" w:val="clear"/>
            <w:tcMar>
              <w:top w:type="dxa" w:w="120"/>
              <w:left w:type="dxa" w:w="200"/>
              <w:bottom w:type="dxa" w:w="120"/>
              <w:right w:type="dxa" w:w="200"/>
            </w:tcMar>
          </w:tcPr>
          <w:p>
            <w:r>
              <w:rPr>
                <w:rFonts w:ascii="Arial" w:cs="Arial" w:eastAsia="Arial" w:hAnsi="Arial"/>
                <w:i/>
                <w:iCs/>
                <w:color w:val="0D4035"/>
                <w:sz w:val="22"/>
                <w:szCs w:val="22"/>
              </w:rPr>
              <w:t xml:space="preserve">The market is validated — pharmacy digitisation is a known need. What we are proving now is the sales motion: who makes the buying decision, what objection matters most, and what the shortest path from demo to paid subscription looks like in the Tanzanian context.</w:t>
            </w:r>
          </w:p>
        </w:tc>
      </w:tr>
    </w:tbl>
    <w:p>
      <w:pPr>
        <w:spacing w:after="200" w:before="0"/>
      </w:pPr>
      <w:r>
        <w:t xml:space="preserve"/>
      </w:r>
    </w:p>
    <w:p>
      <w:pPr>
        <w:pStyle w:val="Heading1"/>
        <w:spacing w:after="120" w:before="360"/>
      </w:pPr>
      <w:r>
        <w:rPr>
          <w:rFonts w:ascii="Arial" w:cs="Arial" w:eastAsia="Arial" w:hAnsi="Arial"/>
          <w:b/>
          <w:bCs/>
          <w:color w:val="0D4035"/>
          <w:sz w:val="36"/>
          <w:szCs w:val="36"/>
        </w:rPr>
        <w:t xml:space="preserve">What We Know, What We Are Learning</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Market validation is established — Tanzanian pharmacies need better tools. The UHI mandate creates urgency that did not exist before 2024. The open question is sales motion validation: which conversation wins the deal, what the real objection is (price, internet reliability, staff adoption, or trust), and how many touchpoints are needed before a pharmacy commits.</w:t>
      </w:r>
    </w:p>
    <w:p>
      <w:pP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The first 20 customers are primarily learning experiments. We are treating each one as an opportunity to answer: who is the real decision-maker in a Tanzanian pharmacy, what makes them stay after 30 days, and which features drive retention versus acquisition.</w:t>
      </w:r>
    </w:p>
    <w:p>
      <w:pP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This informs three specific validation targets for 2026:</w:t>
      </w:r>
    </w:p>
    <w:p>
      <w:pPr>
        <w:pStyle w:val="ListParagraph"/>
        <w:numPr>
          <w:ilvl w:val="0"/>
          <w:numId w:val="2"/>
        </w:numPr>
        <w:spacing w:after="80" w:before="0"/>
      </w:pPr>
      <w:r>
        <w:rPr>
          <w:rFonts w:ascii="Arial" w:cs="Arial" w:eastAsia="Arial" w:hAnsi="Arial"/>
          <w:color w:val="0D4035"/>
          <w:sz w:val="22"/>
          <w:szCs w:val="22"/>
        </w:rPr>
        <w:t xml:space="preserve">Who makes the buying decision — Owner calling from Nairobi, on-site PIC, or both must agree</w:t>
      </w:r>
    </w:p>
    <w:p>
      <w:pPr>
        <w:pStyle w:val="ListParagraph"/>
        <w:numPr>
          <w:ilvl w:val="0"/>
          <w:numId w:val="2"/>
        </w:numPr>
        <w:spacing w:after="80" w:before="0"/>
      </w:pPr>
      <w:r>
        <w:rPr>
          <w:rFonts w:ascii="Arial" w:cs="Arial" w:eastAsia="Arial" w:hAnsi="Arial"/>
          <w:color w:val="0D4035"/>
          <w:sz w:val="22"/>
          <w:szCs w:val="22"/>
        </w:rPr>
        <w:t xml:space="preserve">What is the real conversion blocker — price, internet trust, staff resistance, or TMDA scrutiny concern</w:t>
      </w:r>
    </w:p>
    <w:p>
      <w:pPr>
        <w:pStyle w:val="ListParagraph"/>
        <w:numPr>
          <w:ilvl w:val="0"/>
          <w:numId w:val="2"/>
        </w:numPr>
        <w:spacing w:after="80" w:before="0"/>
      </w:pPr>
      <w:r>
        <w:rPr>
          <w:rFonts w:ascii="Arial" w:cs="Arial" w:eastAsia="Arial" w:hAnsi="Arial"/>
          <w:color w:val="0D4035"/>
          <w:sz w:val="22"/>
          <w:szCs w:val="22"/>
        </w:rPr>
        <w:t xml:space="preserve">What is the minimum proof required — does a WhatsApp demo close a deal or does it require an in-person visit</w:t>
      </w:r>
    </w:p>
    <w:p>
      <w:pPr>
        <w:spacing w:after="200" w:before="0"/>
      </w:pPr>
      <w:r>
        <w:t xml:space="preserve"/>
      </w:r>
    </w:p>
    <w:p>
      <w:pPr>
        <w:pStyle w:val="Heading1"/>
        <w:spacing w:after="120" w:before="360"/>
      </w:pPr>
      <w:r>
        <w:rPr>
          <w:rFonts w:ascii="Arial" w:cs="Arial" w:eastAsia="Arial" w:hAnsi="Arial"/>
          <w:b/>
          <w:bCs/>
          <w:color w:val="0D4035"/>
          <w:sz w:val="36"/>
          <w:szCs w:val="36"/>
        </w:rPr>
        <w:t xml:space="preserve">Contact</w:t>
      </w:r>
    </w:p>
    <w:p>
      <w:pPr>
        <w:pBdr>
          <w:bottom w:val="single" w:color="D6F0E8" w:sz="6" w:space="1"/>
        </w:pBdr>
        <w:spacing w:after="120" w:before="0"/>
      </w:pPr>
      <w:r>
        <w:t xml:space="preserve"/>
      </w:r>
    </w:p>
    <w:p>
      <w:pPr>
        <w:spacing w:after="140" w:before="0"/>
        <w:jc w:val="left"/>
      </w:pPr>
      <w:r>
        <w:rPr>
          <w:rFonts w:ascii="Arial" w:cs="Arial" w:eastAsia="Arial" w:hAnsi="Arial"/>
          <w:b w:val="false"/>
          <w:bCs w:val="false"/>
          <w:i w:val="false"/>
          <w:iCs w:val="false"/>
          <w:color w:val="0D4035"/>
          <w:sz w:val="22"/>
          <w:szCs w:val="22"/>
        </w:rPr>
        <w:t xml:space="preserve">For partnership enquiries, investor conversations, or pharmacy onboarding:</w:t>
      </w:r>
    </w:p>
    <w:p>
      <w:pPr>
        <w:spacing w:after="80" w:before="0"/>
      </w:pPr>
      <w:r>
        <w:t xml:space="preserve"/>
      </w:r>
    </w:p>
    <w:p>
      <w:pPr>
        <w:spacing w:after="100" w:before="0"/>
      </w:pPr>
      <w:r>
        <w:rPr>
          <w:rFonts w:ascii="Arial" w:cs="Arial" w:eastAsia="Arial" w:hAnsi="Arial"/>
          <w:b/>
          <w:bCs/>
          <w:color w:val="0D4035"/>
          <w:sz w:val="22"/>
          <w:szCs w:val="22"/>
        </w:rPr>
        <w:t xml:space="preserve">PharmaConnect</w:t>
      </w:r>
      <w:r>
        <w:rPr>
          <w:rFonts w:ascii="Arial" w:cs="Arial" w:eastAsia="Arial" w:hAnsi="Arial"/>
          <w:color w:val="64748B"/>
          <w:sz w:val="22"/>
          <w:szCs w:val="22"/>
        </w:rPr>
        <w:t xml:space="preserve">  •  Arusha, Tanzania</w:t>
      </w:r>
    </w:p>
    <w:p>
      <w:pPr>
        <w:spacing w:after="200" w:before="0"/>
      </w:pPr>
      <w:r>
        <w:rPr>
          <w:rFonts w:ascii="Arial" w:cs="Arial" w:eastAsia="Arial" w:hAnsi="Arial"/>
          <w:color w:val="64748B"/>
          <w:sz w:val="22"/>
          <w:szCs w:val="22"/>
        </w:rPr>
        <w:t xml:space="preserve">Email: </w:t>
      </w:r>
      <w:r>
        <w:rPr>
          <w:rFonts w:ascii="Arial" w:cs="Arial" w:eastAsia="Arial" w:hAnsi="Arial"/>
          <w:color w:val="1A6B5C"/>
          <w:sz w:val="22"/>
          <w:szCs w:val="22"/>
        </w:rPr>
        <w:t xml:space="preserve">godright.turner@gmail.com</w:t>
      </w:r>
    </w:p>
    <w:p>
      <w:pPr>
        <w:spacing w:after="400" w:before="0"/>
      </w:pPr>
      <w:r>
        <w:t xml:space="preserve"/>
      </w:r>
    </w:p>
    <w:tbl>
      <w:tblPr>
        <w:tblW w:type="dxa" w:w="9026"/>
        <w:tblBorders>
          <w:top w:val="none" w:color="FFFFFF" w:sz="0"/>
          <w:left w:val="single" w:color="1A6B5C"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F0E8" w:val="clear"/>
            <w:tcMar>
              <w:top w:type="dxa" w:w="120"/>
              <w:left w:type="dxa" w:w="200"/>
              <w:bottom w:type="dxa" w:w="120"/>
              <w:right w:type="dxa" w:w="200"/>
            </w:tcMar>
          </w:tcPr>
          <w:p>
            <w:r>
              <w:rPr>
                <w:rFonts w:ascii="Arial" w:cs="Arial" w:eastAsia="Arial" w:hAnsi="Arial"/>
                <w:i/>
                <w:iCs/>
                <w:color w:val="0D4035"/>
                <w:sz w:val="22"/>
                <w:szCs w:val="22"/>
              </w:rPr>
              <w:t xml:space="preserve">PharmaConnect is built for the pharmacist who is trying to serve their community well, stay compliant, and run a sustainable business — in that order.</w:t>
            </w:r>
          </w:p>
        </w:tc>
      </w:tr>
    </w:tbl>
    <w:p>
      <w:pPr>
        <w:spacing w:after="20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F0E8" w:sz="4" w:space="1"/>
      </w:pBdr>
      <w:spacing w:after="0" w:before="120"/>
    </w:pPr>
    <w:r>
      <w:rPr>
        <w:rFonts w:ascii="Arial" w:cs="Arial" w:eastAsia="Arial" w:hAnsi="Arial"/>
        <w:color w:val="64748B"/>
        <w:sz w:val="16"/>
        <w:szCs w:val="16"/>
      </w:rPr>
      <w:t xml:space="preserve">Confidential • PharmaConnect • April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F0E8" w:sz="4" w:space="1"/>
      </w:pBdr>
      <w:spacing w:after="120" w:before="0"/>
    </w:pPr>
    <w:r>
      <w:rPr>
        <w:rFonts w:ascii="Arial" w:cs="Arial" w:eastAsia="Arial" w:hAnsi="Arial"/>
        <w:b/>
        <w:bCs/>
        <w:color w:val="1A6B5C"/>
        <w:sz w:val="18"/>
        <w:szCs w:val="18"/>
      </w:rPr>
      <w:t xml:space="preserve">PharmaConnect</w:t>
    </w:r>
    <w:r>
      <w:rPr>
        <w:rFonts w:ascii="Arial" w:cs="Arial" w:eastAsia="Arial" w:hAnsi="Arial"/>
        <w:color w:val="64748B"/>
        <w:sz w:val="18"/>
        <w:szCs w:val="18"/>
      </w:rPr>
      <w:t xml:space="preserve">  •  Company Overview &amp; Product Pitch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40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4035"/>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6B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2026-04-24T09:32:37.291Z</dcterms:created>
  <dcterms:modified xsi:type="dcterms:W3CDTF">2026-04-24T09:32:37.291Z</dcterms:modified>
</cp:coreProperties>
</file>

<file path=docProps/custom.xml><?xml version="1.0" encoding="utf-8"?>
<Properties xmlns="http://schemas.openxmlformats.org/officeDocument/2006/custom-properties" xmlns:vt="http://schemas.openxmlformats.org/officeDocument/2006/docPropsVTypes"/>
</file>