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0"/>
      </w:pPr>
      <w:r>
        <w:t xml:space="preserve"/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1A6B5C"/>
          <w:sz w:val="72"/>
          <w:szCs w:val="72"/>
        </w:rPr>
        <w:t xml:space="preserve">PharmaConnect</w:t>
      </w:r>
    </w:p>
    <w:p>
      <w:pPr>
        <w:spacing w:after="400" w:before="0"/>
        <w:jc w:val="center"/>
      </w:pPr>
      <w:r>
        <w:rPr>
          <w:rFonts w:ascii="Arial" w:cs="Arial" w:eastAsia="Arial" w:hAnsi="Arial"/>
          <w:i/>
          <w:iCs/>
          <w:color w:val="0D4035"/>
          <w:sz w:val="32"/>
          <w:szCs w:val="32"/>
        </w:rPr>
        <w:t xml:space="preserve">The Pharmacy Operating System for Tanzania</w:t>
      </w:r>
    </w:p>
    <w:p>
      <w:pPr>
        <w:pBdr>
          <w:bottom w:val="single" w:color="D6F0E8" w:sz="8" w:space="1"/>
        </w:pBdr>
        <w:spacing w:after="120" w:before="0"/>
      </w:pPr>
      <w:r>
        <w:t xml:space="preserve"/>
      </w:r>
    </w:p>
    <w:p>
      <w:pPr>
        <w:spacing w:after="400" w:before="0"/>
      </w:pPr>
      <w:r>
        <w:t xml:space="preserve"/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0D4035"/>
          <w:sz w:val="28"/>
          <w:szCs w:val="28"/>
        </w:rPr>
        <w:t xml:space="preserve">Company Overview &amp; Product Pitch</w:t>
      </w:r>
    </w:p>
    <w:p>
      <w:pPr>
        <w:spacing w:after="400" w:before="0"/>
        <w:jc w:val="center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Built for Tanzania. Ready for East Africa.</w:t>
      </w:r>
    </w:p>
    <w:p>
      <w:pPr>
        <w:spacing w:after="120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single" w:color="1A6B5C" w:sz="24"/>
              <w:bottom w:val="none" w:color="FFFFFF" w:sz="0"/>
              <w:right w:val="none" w:color="FFFFFF" w:sz="0"/>
            </w:tcBorders>
            <w:shd w:fill="D6F0E8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20" w:before="0"/>
            </w:pPr>
            <w:r>
              <w:rPr>
                <w:rFonts w:ascii="Arial" w:cs="Arial" w:eastAsia="Arial" w:hAnsi="Arial"/>
                <w:b/>
                <w:bCs/>
                <w:color w:val="0D4035"/>
                <w:sz w:val="24"/>
                <w:szCs w:val="24"/>
              </w:rPr>
              <w:t xml:space="preserve">Phase 1 is live.</w:t>
            </w:r>
          </w:p>
          <w:p>
            <w:r>
              <w:rPr>
                <w:rFonts w:ascii="Arial" w:cs="Arial" w:eastAsia="Arial" w:hAnsi="Arial"/>
                <w:color w:val="0D4035"/>
                <w:sz w:val="22"/>
                <w:szCs w:val="22"/>
              </w:rPr>
              <w:t xml:space="preserve">Tanzania's Universal Health Insurance mandate came into force August 2024. Every pharmacy participating in UHI reimbursements must have structured digital dispensing records. PharmaConnect is the compliant system of record.</w:t>
            </w:r>
          </w:p>
        </w:tc>
      </w:tr>
    </w:tbl>
    <w:p>
      <w:pPr>
        <w:spacing w:after="1600" w:before="0"/>
      </w:pPr>
      <w:r>
        <w:t xml:space="preserve"/>
      </w:r>
    </w:p>
    <w:p>
      <w:pPr>
        <w:jc w:val="center"/>
      </w:pPr>
      <w:r>
        <w:rPr>
          <w:rFonts w:ascii="Arial" w:cs="Arial" w:eastAsia="Arial" w:hAnsi="Arial"/>
          <w:color w:val="64748B"/>
          <w:sz w:val="18"/>
          <w:szCs w:val="18"/>
        </w:rPr>
        <w:t xml:space="preserve">Confidential  •  April 2026  •  Arusha, Tanzania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4035"/>
          <w:sz w:val="36"/>
          <w:szCs w:val="36"/>
        </w:rPr>
        <w:t xml:space="preserve">Executive Summary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4035"/>
          <w:sz w:val="22"/>
          <w:szCs w:val="22"/>
        </w:rPr>
        <w:t xml:space="preserve">PharmaConnect is a pharmacy operating system purpose-built for Tanzania. We serve independent retail pharmacies, ADDOs, and wholesale facilities with a single platform that manages inventory, regulatory compliance, clinical dispensing, patient safety, analytics, and wholesale operations.</w:t>
      </w:r>
    </w:p>
    <w:p>
      <w:pPr>
        <w:spacing w:after="80" w:before="0"/>
      </w:pPr>
      <w:r>
        <w:t xml:space="preserve"/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4035"/>
          <w:sz w:val="22"/>
          <w:szCs w:val="22"/>
        </w:rPr>
        <w:t xml:space="preserve">Phase 1 is live and operational. PharmaConnect is the only pharmacy management system built from the ground up for Tanzania's specific regulatory environment — TMDA product classification, FEFO dispensing, AWaRe antibiotic stewardship, and clinical decision support at the point of dispensing. The system is purpose-built for how Tanzanian pharmacies actually work: offline-first, mobile-ready, and designed for the full range from ADDOs to wholesale facilities.</w:t>
      </w:r>
    </w:p>
    <w:p>
      <w:pPr>
        <w:spacing w:after="80" w:before="0"/>
      </w:pPr>
      <w:r>
        <w:t xml:space="preserve"/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4035"/>
          <w:sz w:val="22"/>
          <w:szCs w:val="22"/>
        </w:rPr>
        <w:t xml:space="preserve">We are currently in active deployment in Arusha and building toward national coverage across all five tiers of the Tanzania pharmacy market.</w:t>
      </w:r>
    </w:p>
    <w:p>
      <w:pPr>
        <w:spacing w:after="20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4035"/>
          <w:sz w:val="36"/>
          <w:szCs w:val="36"/>
        </w:rPr>
        <w:t xml:space="preserve">The Problem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4035"/>
          <w:sz w:val="22"/>
          <w:szCs w:val="22"/>
        </w:rPr>
        <w:t xml:space="preserve">Tanzania has over 16,000 regulated pharmaceutical dispensing facilities — approximately 1,700 licensed retail and wholesale pharmacies and over 14,000 ADDOs (Accredited Drug Dispensing Outlets), per Pharmacy Council of Tanzania registration data (2020; current figures are higher). The majority operate on paper records, basic point-of-sale tools, or software imported from other markets with no understanding of Tanzanian regulatory requirements.</w:t>
      </w:r>
    </w:p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0D4035"/>
          <w:sz w:val="24"/>
          <w:szCs w:val="24"/>
        </w:rPr>
        <w:t xml:space="preserve">What this means in practice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Drug interactions go unchecked at dispensing. A dispenser cannot know in real time whether two drugs being sold together are contraindicated.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TMDA compliance tracking is entirely manual. Licence renewals, staff credential expirations, and equipment certifications are tracked on paper or not at all.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Inventory expires without visibility. Without batch-level expiry tracking and FEFO dispensing logic, pharmacies routinely lose stock to expiry.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NHIF and UHI claims cannot be processed. Structured dispensing records — ICD codes, product codes, patient identifiers — are required for reimbursement but are captured nowhere.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Wholesale networks operate in silos. Retail pharmacies have no visibility into wholesale availability, and wholesale facilities cannot manage orders, delivery, or receivables digitally.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Rural pharmacists have no access to clinical guidance. TMDA updates, NEMLIT changes, and drug safety bulletins do not reach outlying facilities in real time.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Antibiotic stewardship is absent. WHO AWaRe classification of ACCESS, WATCH, and RESERVE antibiotics — mandatory under Tanzania NEMLIT 2021 — is invisible at the point of dispensing.</w:t>
      </w:r>
    </w:p>
    <w:p>
      <w:pPr>
        <w:spacing w:after="20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4035"/>
          <w:sz w:val="36"/>
          <w:szCs w:val="36"/>
        </w:rPr>
        <w:t xml:space="preserve">The Solution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4035"/>
          <w:sz w:val="22"/>
          <w:szCs w:val="22"/>
        </w:rPr>
        <w:t xml:space="preserve">PharmaConnect is a cloud-based, offline-first pharmacy operating system that works on any smartphone or computer with no additional hardware. Every core function works without internet connectivity and syncs automatically when a connection is restored — making it viable in Arusha's urban core, in regional district towns, and in rural dispensaries alike.</w:t>
      </w:r>
    </w:p>
    <w:p>
      <w:pPr>
        <w:spacing w:after="16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6B5C"/>
          <w:sz w:val="28"/>
          <w:szCs w:val="28"/>
        </w:rPr>
        <w:t xml:space="preserve">What is live today — Phase 1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Module</w:t>
            </w:r>
          </w:p>
        </w:tc>
        <w:tc>
          <w:tcPr>
            <w:tcW w:type="dxa" w:w="68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2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Dashboard</w:t>
            </w:r>
          </w:p>
        </w:tc>
        <w:tc>
          <w:tcPr>
            <w:tcW w:type="dxa" w:w="68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Real-time pharmacy health score: stock value, expiry risk, compliance status, sales summary</w:t>
            </w:r>
          </w:p>
        </w:tc>
      </w:tr>
      <w:tr>
        <w:tc>
          <w:tcPr>
            <w:tcW w:type="dxa" w:w="22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Inventory</w:t>
            </w:r>
          </w:p>
        </w:tc>
        <w:tc>
          <w:tcPr>
            <w:tcW w:type="dxa" w:w="68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Batch-level stock management, FEFO dispensing order, expiry alerts, supplier management, barcode scanning, stock adjustments with photo evidence, offline sync</w:t>
            </w:r>
          </w:p>
        </w:tc>
      </w:tr>
      <w:tr>
        <w:tc>
          <w:tcPr>
            <w:tcW w:type="dxa" w:w="22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Compliance Tracker</w:t>
            </w:r>
          </w:p>
        </w:tc>
        <w:tc>
          <w:tcPr>
            <w:tcW w:type="dxa" w:w="68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Automated tracking of TMDA licences, insurance, equipment calibration, staff credentials. Colour-coded status, document upload, alert notifications via SMS and email</w:t>
            </w:r>
          </w:p>
        </w:tc>
      </w:tr>
      <w:tr>
        <w:tc>
          <w:tcPr>
            <w:tcW w:type="dxa" w:w="22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Dispensing</w:t>
            </w:r>
          </w:p>
        </w:tc>
        <w:tc>
          <w:tcPr>
            <w:tcW w:type="dxa" w:w="68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Full dispensing workflow with receipt generation, payment method recording, void management, and PIC PIN override for controlled substances</w:t>
            </w:r>
          </w:p>
        </w:tc>
      </w:tr>
      <w:tr>
        <w:tc>
          <w:tcPr>
            <w:tcW w:type="dxa" w:w="22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Patient Safety</w:t>
            </w:r>
          </w:p>
        </w:tc>
        <w:tc>
          <w:tcPr>
            <w:tcW w:type="dxa" w:w="68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Session-based drug interaction checker, contraindication alerts, dose calculator (Clark's rule for paediatrics), AWaRe antibiotic flags, NCD counselling hints</w:t>
            </w:r>
          </w:p>
        </w:tc>
      </w:tr>
      <w:tr>
        <w:tc>
          <w:tcPr>
            <w:tcW w:type="dxa" w:w="22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Analytics</w:t>
            </w:r>
          </w:p>
        </w:tc>
        <w:tc>
          <w:tcPr>
            <w:tcW w:type="dxa" w:w="68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Revenue trends, top dispensed products, inventory movement, expiry risk dashboard, early-preview forecasting</w:t>
            </w:r>
          </w:p>
        </w:tc>
      </w:tr>
      <w:tr>
        <w:tc>
          <w:tcPr>
            <w:tcW w:type="dxa" w:w="22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Knowledge Hub</w:t>
            </w:r>
          </w:p>
        </w:tc>
        <w:tc>
          <w:tcPr>
            <w:tcW w:type="dxa" w:w="68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Clinical articles, TMDA regulatory updates, drug safety bulletins. Email subscription with unsubscribe management</w:t>
            </w:r>
          </w:p>
        </w:tc>
      </w:tr>
      <w:tr>
        <w:tc>
          <w:tcPr>
            <w:tcW w:type="dxa" w:w="22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Wholesale</w:t>
            </w:r>
          </w:p>
        </w:tc>
        <w:tc>
          <w:tcPr>
            <w:tcW w:type="dxa" w:w="68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Wholesale catalogue, B2B order management, picking and packing workflows, delivery staff management, intake recording</w:t>
            </w:r>
          </w:p>
        </w:tc>
      </w:tr>
      <w:tr>
        <w:tc>
          <w:tcPr>
            <w:tcW w:type="dxa" w:w="22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Attendance</w:t>
            </w:r>
          </w:p>
        </w:tc>
        <w:tc>
          <w:tcPr>
            <w:tcW w:type="dxa" w:w="68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Staff attendance tracking with role-based visibility</w:t>
            </w:r>
          </w:p>
        </w:tc>
      </w:tr>
      <w:tr>
        <w:tc>
          <w:tcPr>
            <w:tcW w:type="dxa" w:w="22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Settings &amp; Team</w:t>
            </w:r>
          </w:p>
        </w:tc>
        <w:tc>
          <w:tcPr>
            <w:tcW w:type="dxa" w:w="68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User management, role assignment, subscription management, pharmacy profile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1A6B5C"/>
          <w:sz w:val="28"/>
          <w:szCs w:val="28"/>
        </w:rPr>
        <w:t xml:space="preserve">Patient Safety — What sets us apart</w:t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4035"/>
          <w:sz w:val="22"/>
          <w:szCs w:val="22"/>
        </w:rPr>
        <w:t xml:space="preserve">No pharmacy management system currently available in the Tanzanian market offers clinical decision support at the point of dispensing. PharmaConnect's patient safety layer operates in real time as a dispenser builds a sale:</w:t>
      </w:r>
    </w:p>
    <w:p>
      <w:pPr>
        <w:spacing w:after="80" w:before="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Drug interaction checker using a structured database of WHO/BNF-sourced interaction rules with severity levels (MAJOR, MODERATE, MINOR, CONTRAINDICATED). MAJOR and CONTRAINDICATED pairs require a PIC PIN override and are logged permanently.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Contraindication alerts for pregnancy, renal impairment, hepatic impairment, age-related cautions, allergy classes, and clinical diagnoses.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Paediatric dose calculator using Clark's rule (weight-based) with the patient's weight entered at session start.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AWaRe antibiotic classification badges at dispensing — WATCH and RESERVE antibiotics are flagged in line with Tanzania NEMLIT 2021 and WHO AWaRe framework.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NCD counselling hints for patients with hypertension, diabetes, asthma, or epilepsy — practical reminders surfaced automatically when relevant drugs are dispensed.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All overrides are logged permanently with PIC identity, reason, and timestamp. Database-level triggers prevent deletion of any override record.</w:t>
      </w:r>
    </w:p>
    <w:p>
      <w:pPr>
        <w:spacing w:after="80" w:before="0"/>
      </w:pPr>
      <w:r>
        <w:t xml:space="preserve"/>
      </w:r>
    </w:p>
    <w:tbl>
      <w:tblPr>
        <w:tblW w:type="dxa" w:w="9026"/>
        <w:tblBorders>
          <w:top w:val="none" w:color="FFFFFF" w:sz="0"/>
          <w:left w:val="single" w:color="1A6B5C" w:sz="18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F0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0D4035"/>
                <w:sz w:val="22"/>
                <w:szCs w:val="22"/>
              </w:rPr>
              <w:t xml:space="preserve">Patient safety data is session-based only. No persistent patient records are stored. PharmaConnect complies with Tanzania's data minimisation requirements under the Personal Data Protection Act 2022.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4035"/>
          <w:sz w:val="36"/>
          <w:szCs w:val="36"/>
        </w:rPr>
        <w:t xml:space="preserve">Market Opportunity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13"/>
        <w:gridCol w:w="3213"/>
      </w:tblGrid>
      <w:tr>
        <w:trPr>
          <w:tblHeader/>
        </w:trP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Segment</w:t>
            </w:r>
          </w:p>
        </w:tc>
        <w:tc>
          <w:tcPr>
            <w:tcW w:type="dxa" w:w="3213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Estimated facilities</w:t>
            </w:r>
          </w:p>
        </w:tc>
        <w:tc>
          <w:tcPr>
            <w:tcW w:type="dxa" w:w="3213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Retail pharmacies</w:t>
            </w:r>
          </w:p>
        </w:tc>
        <w:tc>
          <w:tcPr>
            <w:tcW w:type="dxa" w:w="3213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~1,500</w:t>
            </w:r>
          </w:p>
        </w:tc>
        <w:tc>
          <w:tcPr>
            <w:tcW w:type="dxa" w:w="3213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STANDARD, PREMIUM, ENTERPRISE tiers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ADDOs</w:t>
            </w:r>
          </w:p>
        </w:tc>
        <w:tc>
          <w:tcPr>
            <w:tcW w:type="dxa" w:w="3213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~14,000+</w:t>
            </w:r>
          </w:p>
        </w:tc>
        <w:tc>
          <w:tcPr>
            <w:tcW w:type="dxa" w:w="3213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ADDO tier; basic dispensing + compliance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Wholesale facilities</w:t>
            </w:r>
          </w:p>
        </w:tc>
        <w:tc>
          <w:tcPr>
            <w:tcW w:type="dxa" w:w="3213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~200+</w:t>
            </w:r>
          </w:p>
        </w:tc>
        <w:tc>
          <w:tcPr>
            <w:tcW w:type="dxa" w:w="3213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WHOLESALE, ENTERPRISE tiers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Total Tanzania</w:t>
            </w:r>
          </w:p>
        </w:tc>
        <w:tc>
          <w:tcPr>
            <w:tcW w:type="dxa" w:w="3213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~16,000+</w:t>
            </w:r>
          </w:p>
        </w:tc>
        <w:tc>
          <w:tcPr>
            <w:tcW w:type="dxa" w:w="3213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Source: Pharmacy Council of Tanzania (2020 data; current higher)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East Africa expansion</w:t>
            </w:r>
          </w:p>
        </w:tc>
        <w:tc>
          <w:tcPr>
            <w:tcW w:type="dxa" w:w="3213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Kenya, Uganda, Rwanda</w:t>
            </w:r>
          </w:p>
        </w:tc>
        <w:tc>
          <w:tcPr>
            <w:tcW w:type="dxa" w:w="3213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Phase 3+ exportable model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0D4035"/>
          <w:sz w:val="24"/>
          <w:szCs w:val="24"/>
        </w:rPr>
        <w:t xml:space="preserve">Why now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Tanzania's NCD burden is rising sharply. Hypertension, diabetes, and HIV require chronic repeat dispensing management with safety checks that paper-based systems cannot provide. This is the immediate, daily pain that drives pharmacy adoption.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TMDA is rolling out its Integrated Regulatory Information Management System (IRIMS), and pharmacy licencing interactions are moving online. Compliance tracking is no longer optional.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Antibiotic resistance is a national priority. TMDA and the Pharmacy Council are actively promoting AWaRe stewardship — PharmaConnect is the only dispensing system in the market with AWaRe classification built in at the point of sale.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Tanzania's Universal Health Insurance Act (in force August 2024) creates a longer-term structural tailwind: pharmacies that participate in UHI reimbursements will require structured digital dispensing records. PharmaConnect is positioned for this transition, though it is not a dependency for our current sales.</w:t>
      </w:r>
    </w:p>
    <w:p>
      <w:pPr>
        <w:spacing w:after="16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0D4035"/>
          <w:sz w:val="24"/>
          <w:szCs w:val="24"/>
        </w:rPr>
        <w:t xml:space="preserve">Revenue scenario</w:t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4035"/>
          <w:sz w:val="22"/>
          <w:szCs w:val="22"/>
        </w:rPr>
        <w:t xml:space="preserve">At 500 active pharmacies across a blended average of TZS 65,000 per month, monthly recurring revenue reaches TZS 32.5 million (~USD 12,500). At 1,000 pharmacies the figure doubles. These are conservative targets given a total addressable market of over 16,000 regulated facilities — making even 5% penetration a commercially significant position.</w:t>
      </w:r>
    </w:p>
    <w:p>
      <w:pPr>
        <w:spacing w:after="20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4035"/>
          <w:sz w:val="36"/>
          <w:szCs w:val="36"/>
        </w:rPr>
        <w:t xml:space="preserve">Pricing &amp; Subscription Tiers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4035"/>
          <w:sz w:val="22"/>
          <w:szCs w:val="22"/>
        </w:rPr>
        <w:t xml:space="preserve">PharmaConnect operates on a SaaS subscription model. All tiers include core inventory, compliance, and analytics. Clinical and advanced features are tier-gated. Annual billing offers two months free.</w:t>
      </w:r>
    </w:p>
    <w:p>
      <w:pPr>
        <w:spacing w:after="16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1800"/>
        <w:gridCol w:w="1600"/>
        <w:gridCol w:w="2226"/>
      </w:tblGrid>
      <w:tr>
        <w:trPr>
          <w:tblHeader/>
        </w:trPr>
        <w:tc>
          <w:tcPr>
            <w:tcW w:type="dxa" w:w="1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</w:t>
            </w:r>
          </w:p>
        </w:tc>
        <w:tc>
          <w:tcPr>
            <w:tcW w:type="dxa" w:w="18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Monthly (TZS)</w:t>
            </w:r>
          </w:p>
        </w:tc>
        <w:tc>
          <w:tcPr>
            <w:tcW w:type="dxa" w:w="18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Annual (TZS)</w:t>
            </w:r>
          </w:p>
        </w:tc>
        <w:tc>
          <w:tcPr>
            <w:tcW w:type="dxa" w:w="1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Users</w:t>
            </w:r>
          </w:p>
        </w:tc>
        <w:tc>
          <w:tcPr>
            <w:tcW w:type="dxa" w:w="22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use</w:t>
            </w:r>
          </w:p>
        </w:tc>
      </w:tr>
      <w:tr>
        <w:tc>
          <w:tcPr>
            <w:tcW w:type="dxa" w:w="1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ADDO</w:t>
            </w:r>
          </w:p>
        </w:tc>
        <w:tc>
          <w:tcPr>
            <w:tcW w:type="dxa" w:w="18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20,000</w:t>
            </w:r>
          </w:p>
        </w:tc>
        <w:tc>
          <w:tcPr>
            <w:tcW w:type="dxa" w:w="18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200,000</w:t>
            </w:r>
          </w:p>
        </w:tc>
        <w:tc>
          <w:tcPr>
            <w:tcW w:type="dxa" w:w="1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2</w:t>
            </w:r>
          </w:p>
        </w:tc>
        <w:tc>
          <w:tcPr>
            <w:tcW w:type="dxa" w:w="22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Basic dispensing, compliance</w:t>
            </w:r>
          </w:p>
        </w:tc>
      </w:tr>
      <w:tr>
        <w:tc>
          <w:tcPr>
            <w:tcW w:type="dxa" w:w="1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STANDARD</w:t>
            </w:r>
          </w:p>
        </w:tc>
        <w:tc>
          <w:tcPr>
            <w:tcW w:type="dxa" w:w="18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55,000</w:t>
            </w:r>
          </w:p>
        </w:tc>
        <w:tc>
          <w:tcPr>
            <w:tcW w:type="dxa" w:w="18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550,000</w:t>
            </w:r>
          </w:p>
        </w:tc>
        <w:tc>
          <w:tcPr>
            <w:tcW w:type="dxa" w:w="1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4</w:t>
            </w:r>
          </w:p>
        </w:tc>
        <w:tc>
          <w:tcPr>
            <w:tcW w:type="dxa" w:w="22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Full clinical dispensing</w:t>
            </w:r>
          </w:p>
        </w:tc>
      </w:tr>
      <w:tr>
        <w:tc>
          <w:tcPr>
            <w:tcW w:type="dxa" w:w="1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PREMIUM</w:t>
            </w:r>
          </w:p>
        </w:tc>
        <w:tc>
          <w:tcPr>
            <w:tcW w:type="dxa" w:w="18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75,000</w:t>
            </w:r>
          </w:p>
        </w:tc>
        <w:tc>
          <w:tcPr>
            <w:tcW w:type="dxa" w:w="18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750,000</w:t>
            </w:r>
          </w:p>
        </w:tc>
        <w:tc>
          <w:tcPr>
            <w:tcW w:type="dxa" w:w="1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6</w:t>
            </w:r>
          </w:p>
        </w:tc>
        <w:tc>
          <w:tcPr>
            <w:tcW w:type="dxa" w:w="22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Advanced analytics, forecasting</w:t>
            </w:r>
          </w:p>
        </w:tc>
      </w:tr>
      <w:tr>
        <w:tc>
          <w:tcPr>
            <w:tcW w:type="dxa" w:w="1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WHOLESALE</w:t>
            </w:r>
          </w:p>
        </w:tc>
        <w:tc>
          <w:tcPr>
            <w:tcW w:type="dxa" w:w="18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100,000</w:t>
            </w:r>
          </w:p>
        </w:tc>
        <w:tc>
          <w:tcPr>
            <w:tcW w:type="dxa" w:w="18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1,000,000</w:t>
            </w:r>
          </w:p>
        </w:tc>
        <w:tc>
          <w:tcPr>
            <w:tcW w:type="dxa" w:w="1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8 + delivery</w:t>
            </w:r>
          </w:p>
        </w:tc>
        <w:tc>
          <w:tcPr>
            <w:tcW w:type="dxa" w:w="22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Wholesale operations</w:t>
            </w:r>
          </w:p>
        </w:tc>
      </w:tr>
      <w:tr>
        <w:tc>
          <w:tcPr>
            <w:tcW w:type="dxa" w:w="1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ENTERPRISE</w:t>
            </w:r>
          </w:p>
        </w:tc>
        <w:tc>
          <w:tcPr>
            <w:tcW w:type="dxa" w:w="18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Negotiated</w:t>
            </w:r>
          </w:p>
        </w:tc>
        <w:tc>
          <w:tcPr>
            <w:tcW w:type="dxa" w:w="18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Negotiated</w:t>
            </w:r>
          </w:p>
        </w:tc>
        <w:tc>
          <w:tcPr>
            <w:tcW w:type="dxa" w:w="1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Unlimited</w:t>
            </w:r>
          </w:p>
        </w:tc>
        <w:tc>
          <w:tcPr>
            <w:tcW w:type="dxa" w:w="22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Multi-outlet chains</w:t>
            </w:r>
          </w:p>
        </w:tc>
      </w:tr>
      <w:tr>
        <w:tc>
          <w:tcPr>
            <w:tcW w:type="dxa" w:w="1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HYBRID Add-on</w:t>
            </w:r>
          </w:p>
        </w:tc>
        <w:tc>
          <w:tcPr>
            <w:tcW w:type="dxa" w:w="18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130,000 total</w:t>
            </w:r>
          </w:p>
        </w:tc>
        <w:tc>
          <w:tcPr>
            <w:tcW w:type="dxa" w:w="18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1,300,000</w:t>
            </w:r>
          </w:p>
        </w:tc>
        <w:tc>
          <w:tcPr>
            <w:tcW w:type="dxa" w:w="1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—</w:t>
            </w:r>
          </w:p>
        </w:tc>
        <w:tc>
          <w:tcPr>
            <w:tcW w:type="dxa" w:w="22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Retail + wholesale combined</w:t>
            </w:r>
          </w:p>
        </w:tc>
      </w:tr>
    </w:tbl>
    <w:p>
      <w:pPr>
        <w:spacing w:after="120" w:before="0"/>
      </w:pPr>
      <w:r>
        <w:t xml:space="preserve"/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64748B"/>
          <w:sz w:val="22"/>
          <w:szCs w:val="22"/>
        </w:rPr>
        <w:t xml:space="preserve">Annual billing: 10 × monthly rate (2 months free). Enterprise pricing is negotiated directly.</w:t>
      </w:r>
    </w:p>
    <w:p>
      <w:pPr>
        <w:spacing w:after="20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4035"/>
          <w:sz w:val="36"/>
          <w:szCs w:val="36"/>
        </w:rPr>
        <w:t xml:space="preserve">Regulatory Positioning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4035"/>
          <w:sz w:val="22"/>
          <w:szCs w:val="22"/>
        </w:rPr>
        <w:t xml:space="preserve">PharmaConnect is designed to align with Tanzania's pharmaceutical regulatory landscape from the ground up. No configuration or customisation is required for compliance.</w:t>
      </w:r>
    </w:p>
    <w:p>
      <w:pPr>
        <w:spacing w:after="12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Regulatory area</w:t>
            </w:r>
          </w:p>
        </w:tc>
        <w:tc>
          <w:tcPr>
            <w:tcW w:type="dxa" w:w="66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 PharmaConnect addresses it</w:t>
            </w:r>
          </w:p>
        </w:tc>
      </w:tr>
      <w:tr>
        <w:tc>
          <w:tcPr>
            <w:tcW w:type="dxa" w:w="24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TMDA compliance</w:t>
            </w:r>
          </w:p>
        </w:tc>
        <w:tc>
          <w:tcPr>
            <w:tcW w:type="dxa" w:w="66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Built-in compliance tracker for all TMDA licence types, renewal dates, document storage, and automated alerts</w:t>
            </w:r>
          </w:p>
        </w:tc>
      </w:tr>
      <w:tr>
        <w:tc>
          <w:tcPr>
            <w:tcW w:type="dxa" w:w="24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FEFO dispensing</w:t>
            </w:r>
          </w:p>
        </w:tc>
        <w:tc>
          <w:tcPr>
            <w:tcW w:type="dxa" w:w="66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System enforces First Expired First Out batch selection at dispensing — the TMDA and WHO standard</w:t>
            </w:r>
          </w:p>
        </w:tc>
      </w:tr>
      <w:tr>
        <w:tc>
          <w:tcPr>
            <w:tcW w:type="dxa" w:w="24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AWaRe antibiotics</w:t>
            </w:r>
          </w:p>
        </w:tc>
        <w:tc>
          <w:tcPr>
            <w:tcW w:type="dxa" w:w="66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WHO AWaRe ACCESS/WATCH/RESERVE classification displayed at dispensing per NEMLIT 2021</w:t>
            </w:r>
          </w:p>
        </w:tc>
      </w:tr>
      <w:tr>
        <w:tc>
          <w:tcPr>
            <w:tcW w:type="dxa" w:w="24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NHIF/UHI readiness</w:t>
            </w:r>
          </w:p>
        </w:tc>
        <w:tc>
          <w:tcPr>
            <w:tcW w:type="dxa" w:w="66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Dispensing records capture ICD codes, product codes, and payment method. Structured for UHI claim submission in Phase 2</w:t>
            </w:r>
          </w:p>
        </w:tc>
      </w:tr>
      <w:tr>
        <w:tc>
          <w:tcPr>
            <w:tcW w:type="dxa" w:w="24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EFDMS/VFD (TRA)</w:t>
            </w:r>
          </w:p>
        </w:tc>
        <w:tc>
          <w:tcPr>
            <w:tcW w:type="dxa" w:w="66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Fiscal device compliance built into every transaction silently. No UI exposure per TRA guidelines. Protocol 2.1 target</w:t>
            </w:r>
          </w:p>
        </w:tc>
      </w:tr>
      <w:tr>
        <w:tc>
          <w:tcPr>
            <w:tcW w:type="dxa" w:w="24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Override audit trail</w:t>
            </w:r>
          </w:p>
        </w:tc>
        <w:tc>
          <w:tcPr>
            <w:tcW w:type="dxa" w:w="66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All PIC PIN overrides logged permanently. Database-level trigger prevents deletion — a permanent medical record</w:t>
            </w:r>
          </w:p>
        </w:tc>
      </w:tr>
      <w:tr>
        <w:tc>
          <w:tcPr>
            <w:tcW w:type="dxa" w:w="24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PDPC (data protection)</w:t>
            </w:r>
          </w:p>
        </w:tc>
        <w:tc>
          <w:tcPr>
            <w:tcW w:type="dxa" w:w="66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No persistent patient data. Session-based safety checks only. Data minimisation by design</w:t>
            </w:r>
          </w:p>
        </w:tc>
      </w:tr>
      <w:tr>
        <w:tc>
          <w:tcPr>
            <w:tcW w:type="dxa" w:w="24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GSDP cold chain</w:t>
            </w:r>
          </w:p>
        </w:tc>
        <w:tc>
          <w:tcPr>
            <w:tcW w:type="dxa" w:w="66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Cold chain temperature log schema ready; TMDA GSDP 2021 compliant data structure for refrigerated products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4035"/>
          <w:sz w:val="36"/>
          <w:szCs w:val="36"/>
        </w:rPr>
        <w:t xml:space="preserve">Technology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4035"/>
          <w:sz w:val="22"/>
          <w:szCs w:val="22"/>
        </w:rPr>
        <w:t xml:space="preserve">PharmaConnect requires no additional hardware. A smartphone, tablet, or computer with a browser is sufficient. The system is designed for the infrastructure reality of Tanzanian towns and districts.</w:t>
      </w:r>
    </w:p>
    <w:p>
      <w:pPr>
        <w:spacing w:after="12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Offline-first. Core functions work with zero internet. Data queues locally and syncs when connected. No downtime for connectivity loss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Frontend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Progressive Web App (PWA). No app store installation required. Works on Android, iOS, and any browser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Backend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Node.js / Express / TypeScript on Railway. PostgreSQL database. JWT authentication with 7-day refresh rotation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Hosting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Railway (backend + database) and Vercel (frontend). Both platforms have African CDN nodes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Communications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Africa's Talking for SMS and WhatsApp. Resend for email. Compliance alerts, trial reminders, and knowledge bulletins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Security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Role-based access control across 11 distinct roles. All API routes authenticated. Sensitive actions require PIC PIN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4035"/>
          <w:sz w:val="36"/>
          <w:szCs w:val="36"/>
        </w:rPr>
        <w:t xml:space="preserve">User Roles &amp; Access Control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4035"/>
          <w:sz w:val="22"/>
          <w:szCs w:val="22"/>
        </w:rPr>
        <w:t xml:space="preserve">PharmaConnect supports 11 distinct user roles with granular permission boundaries. Every function in the system enforces role and tier checks at the API layer.</w:t>
      </w:r>
    </w:p>
    <w:p>
      <w:pPr>
        <w:spacing w:after="12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426"/>
      </w:tblGrid>
      <w:tr>
        <w:trPr>
          <w:tblHeader/>
        </w:trP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0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Tiers available</w:t>
            </w:r>
          </w:p>
        </w:tc>
        <w:tc>
          <w:tcPr>
            <w:tcW w:type="dxa" w:w="4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function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Owner</w:t>
            </w:r>
          </w:p>
        </w:tc>
        <w:tc>
          <w:tcPr>
            <w:tcW w:type="dxa" w:w="20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All tiers</w:t>
            </w:r>
          </w:p>
        </w:tc>
        <w:tc>
          <w:tcPr>
            <w:tcW w:type="dxa" w:w="4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Remote oversight, billing, user management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Pharmacist in Charge (PIC)</w:t>
            </w:r>
          </w:p>
        </w:tc>
        <w:tc>
          <w:tcPr>
            <w:tcW w:type="dxa" w:w="20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All tiers</w:t>
            </w:r>
          </w:p>
        </w:tc>
        <w:tc>
          <w:tcPr>
            <w:tcW w:type="dxa" w:w="4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Full clinical and operational control, PIC PIN authority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Dispenser</w:t>
            </w:r>
          </w:p>
        </w:tc>
        <w:tc>
          <w:tcPr>
            <w:tcW w:type="dxa" w:w="20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STANDARD, PREMIUM, ENTERPRISE</w:t>
            </w:r>
          </w:p>
        </w:tc>
        <w:tc>
          <w:tcPr>
            <w:tcW w:type="dxa" w:w="4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Retail dispensing with patient safety tools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Cashier</w:t>
            </w:r>
          </w:p>
        </w:tc>
        <w:tc>
          <w:tcPr>
            <w:tcW w:type="dxa" w:w="20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STANDARD, PREMIUM, ENTERPRISE</w:t>
            </w:r>
          </w:p>
        </w:tc>
        <w:tc>
          <w:tcPr>
            <w:tcW w:type="dxa" w:w="4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Payment completion on prepared sales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Data Entry Clerk</w:t>
            </w:r>
          </w:p>
        </w:tc>
        <w:tc>
          <w:tcPr>
            <w:tcW w:type="dxa" w:w="20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All tiers</w:t>
            </w:r>
          </w:p>
        </w:tc>
        <w:tc>
          <w:tcPr>
            <w:tcW w:type="dxa" w:w="4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Stock intake and supplier management only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Wholesale Manager</w:t>
            </w:r>
          </w:p>
        </w:tc>
        <w:tc>
          <w:tcPr>
            <w:tcW w:type="dxa" w:w="20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WHOLESALE, ENTERPRISE</w:t>
            </w:r>
          </w:p>
        </w:tc>
        <w:tc>
          <w:tcPr>
            <w:tcW w:type="dxa" w:w="4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Full wholesale operations management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Wholesale Counter Staff</w:t>
            </w:r>
          </w:p>
        </w:tc>
        <w:tc>
          <w:tcPr>
            <w:tcW w:type="dxa" w:w="20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WHOLESALE, ENTERPRISE</w:t>
            </w:r>
          </w:p>
        </w:tc>
        <w:tc>
          <w:tcPr>
            <w:tcW w:type="dxa" w:w="4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Order picking, intake, delivery confirmation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Delivery Staff</w:t>
            </w:r>
          </w:p>
        </w:tc>
        <w:tc>
          <w:tcPr>
            <w:tcW w:type="dxa" w:w="20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WHOLESALE, ENTERPRISE</w:t>
            </w:r>
          </w:p>
        </w:tc>
        <w:tc>
          <w:tcPr>
            <w:tcW w:type="dxa" w:w="4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Delivery status updates only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4035"/>
          <w:sz w:val="36"/>
          <w:szCs w:val="36"/>
        </w:rPr>
        <w:t xml:space="preserve">Competitive Advantages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Advantage</w:t>
            </w:r>
          </w:p>
        </w:tc>
        <w:tc>
          <w:tcPr>
            <w:tcW w:type="dxa" w:w="66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it matters</w:t>
            </w:r>
          </w:p>
        </w:tc>
      </w:tr>
      <w:tr>
        <w:tc>
          <w:tcPr>
            <w:tcW w:type="dxa" w:w="24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Tanzania-first design</w:t>
            </w:r>
          </w:p>
        </w:tc>
        <w:tc>
          <w:tcPr>
            <w:tcW w:type="dxa" w:w="66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TZS currency, TMDA regulatory framework, NEMLIT drug classification, AWaRe antibiotics, NHIF/UHI data structure — no imported system offers this</w:t>
            </w:r>
          </w:p>
        </w:tc>
      </w:tr>
      <w:tr>
        <w:tc>
          <w:tcPr>
            <w:tcW w:type="dxa" w:w="24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Offline-first architecture</w:t>
            </w:r>
          </w:p>
        </w:tc>
        <w:tc>
          <w:tcPr>
            <w:tcW w:type="dxa" w:w="66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Tanzania's connectivity outside Dar es Salaam and Arusha is unreliable. A system that fails without internet cannot serve the real market</w:t>
            </w:r>
          </w:p>
        </w:tc>
      </w:tr>
      <w:tr>
        <w:tc>
          <w:tcPr>
            <w:tcW w:type="dxa" w:w="24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Patient safety at dispensing</w:t>
            </w:r>
          </w:p>
        </w:tc>
        <w:tc>
          <w:tcPr>
            <w:tcW w:type="dxa" w:w="66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Drug interaction checking, contraindication alerts, and dose calculation at the point of sale. No local competitor offers this layer</w:t>
            </w:r>
          </w:p>
        </w:tc>
      </w:tr>
      <w:tr>
        <w:tc>
          <w:tcPr>
            <w:tcW w:type="dxa" w:w="24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All-in-one platform</w:t>
            </w:r>
          </w:p>
        </w:tc>
        <w:tc>
          <w:tcPr>
            <w:tcW w:type="dxa" w:w="66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Inventory + compliance + dispensing + wholesale + analytics in one subscription. No integration headaches, no multiple vendors</w:t>
            </w:r>
          </w:p>
        </w:tc>
      </w:tr>
      <w:tr>
        <w:tc>
          <w:tcPr>
            <w:tcW w:type="dxa" w:w="24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UHI readiness</w:t>
            </w:r>
          </w:p>
        </w:tc>
        <w:tc>
          <w:tcPr>
            <w:tcW w:type="dxa" w:w="66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Structured dispensing records with ICD codes from day one. Pharmacies using PharmaConnect are already building the data they will need for UHI claims</w:t>
            </w:r>
          </w:p>
        </w:tc>
      </w:tr>
      <w:tr>
        <w:tc>
          <w:tcPr>
            <w:tcW w:type="dxa" w:w="24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No hardware required</w:t>
            </w:r>
          </w:p>
        </w:tc>
        <w:tc>
          <w:tcPr>
            <w:tcW w:type="dxa" w:w="66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Any smartphone. Zero capital expenditure required from the pharmacy. Lowers the adoption barrier significantly</w:t>
            </w:r>
          </w:p>
        </w:tc>
      </w:tr>
      <w:tr>
        <w:tc>
          <w:tcPr>
            <w:tcW w:type="dxa" w:w="24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AWaRe stewardship</w:t>
            </w:r>
          </w:p>
        </w:tc>
        <w:tc>
          <w:tcPr>
            <w:tcW w:type="dxa" w:w="66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Automatic classification of WATCH and RESERVE antibiotics at dispensing. A differentiator with PICs who understand the NEMLIT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4035"/>
          <w:sz w:val="36"/>
          <w:szCs w:val="36"/>
        </w:rPr>
        <w:t xml:space="preserve">Product Roadmap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6826"/>
      </w:tblGrid>
      <w:tr>
        <w:trPr>
          <w:tblHeader/>
        </w:trPr>
        <w:tc>
          <w:tcPr>
            <w:tcW w:type="dxa" w:w="12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20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68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Features</w:t>
            </w:r>
          </w:p>
        </w:tc>
      </w:tr>
      <w:tr>
        <w:tc>
          <w:tcPr>
            <w:tcW w:type="dxa" w:w="12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4035"/>
                <w:sz w:val="20"/>
                <w:szCs w:val="20"/>
              </w:rPr>
              <w:t xml:space="preserve">Phase 1</w:t>
            </w:r>
          </w:p>
        </w:tc>
        <w:tc>
          <w:tcPr>
            <w:tcW w:type="dxa" w:w="20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6B5C"/>
                <w:sz w:val="20"/>
                <w:szCs w:val="20"/>
              </w:rPr>
              <w:t xml:space="preserve">Live</w:t>
            </w:r>
          </w:p>
        </w:tc>
        <w:tc>
          <w:tcPr>
            <w:tcW w:type="dxa" w:w="68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Dashboard, Inventory (FEFO, batch, expiry), Compliance Tracker, Dispensing with Patient Safety (interactions, AWaRe, dose calc), Analytics, Knowledge Hub, Wholesale basics, Attendance, Subscription management</w:t>
            </w:r>
          </w:p>
        </w:tc>
      </w:tr>
      <w:tr>
        <w:tc>
          <w:tcPr>
            <w:tcW w:type="dxa" w:w="12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4035"/>
                <w:sz w:val="20"/>
                <w:szCs w:val="20"/>
              </w:rPr>
              <w:t xml:space="preserve">Phase 2</w:t>
            </w:r>
          </w:p>
        </w:tc>
        <w:tc>
          <w:tcPr>
            <w:tcW w:type="dxa" w:w="20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Coming Soon</w:t>
            </w:r>
          </w:p>
        </w:tc>
        <w:tc>
          <w:tcPr>
            <w:tcW w:type="dxa" w:w="68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CPD Tracker (PC MOU pending), NHIF/UHI Claims Module (Breeze API accreditation pending), Stock Exchange, Payment Gateway (M-Pesa / Flutterwave), Full Forecasting Engine, Pharmacovigilance ADR Reporting, Dispensing Daily Close, Wholesale Returns, Purchase Orders, Delivery Manifests, Per-client Pricing</w:t>
            </w:r>
          </w:p>
        </w:tc>
      </w:tr>
      <w:tr>
        <w:tc>
          <w:tcPr>
            <w:tcW w:type="dxa" w:w="12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4035"/>
                <w:sz w:val="20"/>
                <w:szCs w:val="20"/>
              </w:rPr>
              <w:t xml:space="preserve">Phase 3</w:t>
            </w:r>
          </w:p>
        </w:tc>
        <w:tc>
          <w:tcPr>
            <w:tcW w:type="dxa" w:w="20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Planned</w:t>
            </w:r>
          </w:p>
        </w:tc>
        <w:tc>
          <w:tcPr>
            <w:tcW w:type="dxa" w:w="68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B2B Ordering Platform (closed network — retail orders from PharmaConnect wholesale only), Patient Mobile App (PDPC + MOH MOU required), Multi-outlet Enterprise Dashboard, Persistent Patient Records</w:t>
            </w:r>
          </w:p>
        </w:tc>
      </w:tr>
      <w:tr>
        <w:tc>
          <w:tcPr>
            <w:tcW w:type="dxa" w:w="12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0D4035"/>
                <w:sz w:val="20"/>
                <w:szCs w:val="20"/>
              </w:rPr>
              <w:t xml:space="preserve">Phase 4</w:t>
            </w:r>
          </w:p>
        </w:tc>
        <w:tc>
          <w:tcPr>
            <w:tcW w:type="dxa" w:w="20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Planned</w:t>
            </w:r>
          </w:p>
        </w:tc>
        <w:tc>
          <w:tcPr>
            <w:tcW w:type="dxa" w:w="68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AI Safety Module (LLM-assisted drug counselling), Data Products (anonymised market intelligence), Regional Demand Analytics, AWaRe Consumption Reporting for TMDA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4035"/>
          <w:sz w:val="36"/>
          <w:szCs w:val="36"/>
        </w:rPr>
        <w:t xml:space="preserve">Deferred Features — What Is Coming and Why It Is Not Here Yet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4035"/>
          <w:sz w:val="22"/>
          <w:szCs w:val="22"/>
        </w:rPr>
        <w:t xml:space="preserve">The following features have been designed and scoped but are intentionally not built yet. Each has a specific dependency or regulatory gate that must be met first. None is a missing product decision — each is a deliberate choice to build on a stable foundation.</w:t>
      </w:r>
    </w:p>
    <w:p>
      <w:pPr>
        <w:spacing w:after="120" w:before="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1A6B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Blocking dependency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NHIF Claims Module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NHIF Breeze API accreditation. Application submitted. Schema and data capture are ready.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Prescription Management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PC and TMDA joint digital prescription framework. Not yet published.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Clinical OTC Symptom Tool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PharmaConnect written clinical position statement. Internal review required.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Persistent Patient Records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PDPC registration as health data controller + MOH MOU. Both in progress.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PC-Accredited CPD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Pharmacy Council MOU for CPD accreditation. Engagement initiated.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TMDA Controlled Substances Reporting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TMDA electronic reporting system notification and approval.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Pharmacovigilance ADR submission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TMDA electronic ADR reporting integration. Schema and placeholder page built.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Payment gateway (M-Pesa / Flutterwave)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Phase 2. Manual payment confirmation in Phase 1.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Patient App (mobile)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Phase 3. Requires PDPC registration and MOH data sharing agreement.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Cold chain temperature UI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Schema built. UI deferred until GSDP audit demand from pharmacies confirms priority.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Adherence/refill SMS reminders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Requires 3–6 months of real dispensing data per pharmacy. Africa's Talking is ready.</w:t>
            </w:r>
          </w:p>
        </w:tc>
      </w:tr>
      <w:tr>
        <w:tc>
          <w:tcPr>
            <w:tcW w:type="dxa" w:w="2600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AI drug counselling</w:t>
            </w:r>
          </w:p>
        </w:tc>
        <w:tc>
          <w:tcPr>
            <w:tcW w:type="dxa" w:w="6426"/>
            <w:tcBorders>
              <w:top w:val="single" w:color="D6F0E8" w:sz="1"/>
              <w:left w:val="single" w:color="D6F0E8" w:sz="1"/>
              <w:bottom w:val="single" w:color="D6F0E8" w:sz="1"/>
              <w:right w:val="single" w:color="D6F0E8" w:sz="1"/>
            </w:tcBorders>
            <w:shd w:fill="D6F0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D4035"/>
                <w:sz w:val="20"/>
                <w:szCs w:val="20"/>
              </w:rPr>
              <w:t xml:space="preserve">Phase 4. Clinical governance policy and LLM contract required first.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4035"/>
          <w:sz w:val="36"/>
          <w:szCs w:val="36"/>
        </w:rPr>
        <w:t xml:space="preserve">Go-to-Market Approach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4035"/>
          <w:sz w:val="22"/>
          <w:szCs w:val="22"/>
        </w:rPr>
        <w:t xml:space="preserve">Phase 1 targets independent retail pharmacies and wholesale facilities in Arusha as the initial anchor market, expanding to Dar es Salaam, Mwanza, and Dodoma. The approach is direct and relationship-led.</w:t>
      </w:r>
    </w:p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0D4035"/>
          <w:sz w:val="24"/>
          <w:szCs w:val="24"/>
        </w:rPr>
        <w:t xml:space="preserve">Primary acquisition channels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Direct outreach to Pharmacists in Charge and Owners via WhatsApp and phone in Arusha network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Pharmacy Council and TMDA-adjacent events and CPD sessions where PICs gather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Word of mouth from early adopter pharmacies — the pharmacy community in each town is small and tightly networked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Targeted presence at MSD and supplier distribution points where pharmacies receive stock</w:t>
      </w:r>
    </w:p>
    <w:p>
      <w:pPr>
        <w:spacing w:after="120" w:before="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0D4035"/>
          <w:sz w:val="24"/>
          <w:szCs w:val="24"/>
        </w:rPr>
        <w:t xml:space="preserve">Conversion approach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30-day free trial. No credit card. No upfront commitment.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WhatsApp-based onboarding and support for the first 30 days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Upgrade path: ADDO → STANDARD → PREMIUM as pharmacy grows and needs more features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Manual payment confirmation in Phase 1 via M-Pesa or bank transfer. Automated gateway in Phase 2.</w:t>
      </w:r>
    </w:p>
    <w:p>
      <w:pPr>
        <w:spacing w:after="120" w:before="0"/>
      </w:pPr>
      <w:r>
        <w:t xml:space="preserve"/>
      </w:r>
    </w:p>
    <w:tbl>
      <w:tblPr>
        <w:tblW w:type="dxa" w:w="9026"/>
        <w:tblBorders>
          <w:top w:val="none" w:color="FFFFFF" w:sz="0"/>
          <w:left w:val="single" w:color="1A6B5C" w:sz="18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F0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0D4035"/>
                <w:sz w:val="22"/>
                <w:szCs w:val="22"/>
              </w:rPr>
              <w:t xml:space="preserve">The market is validated — pharmacy digitisation is a known need. What we are proving now is the sales motion: who makes the buying decision, what objection matters most, and what the shortest path from demo to paid subscription looks like in the Tanzanian context.</w:t>
            </w:r>
          </w:p>
        </w:tc>
      </w:tr>
    </w:tbl>
    <w:p>
      <w:pPr>
        <w:spacing w:after="20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4035"/>
          <w:sz w:val="36"/>
          <w:szCs w:val="36"/>
        </w:rPr>
        <w:t xml:space="preserve">What We Know, What We Are Learning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4035"/>
          <w:sz w:val="22"/>
          <w:szCs w:val="22"/>
        </w:rPr>
        <w:t xml:space="preserve">Market validation is established — Tanzanian pharmacies need better tools. The UHI mandate creates urgency that did not exist before 2024. The open question is sales motion validation: which conversation wins the deal, what the real objection is (price, internet reliability, staff adoption, or trust), and how many touchpoints are needed before a pharmacy commits.</w:t>
      </w:r>
    </w:p>
    <w:p>
      <w:pPr>
        <w:spacing w:after="120" w:before="0"/>
      </w:pPr>
      <w:r>
        <w:t xml:space="preserve"/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4035"/>
          <w:sz w:val="22"/>
          <w:szCs w:val="22"/>
        </w:rPr>
        <w:t xml:space="preserve">The first 20 customers are primarily learning experiments. We are treating each one as an opportunity to answer: who is the real decision-maker in a Tanzanian pharmacy, what makes them stay after 30 days, and which features drive retention versus acquisition.</w:t>
      </w:r>
    </w:p>
    <w:p>
      <w:pPr>
        <w:spacing w:after="120" w:before="0"/>
      </w:pPr>
      <w:r>
        <w:t xml:space="preserve"/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4035"/>
          <w:sz w:val="22"/>
          <w:szCs w:val="22"/>
        </w:rPr>
        <w:t xml:space="preserve">This informs three specific validation targets for 2026: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Who makes the buying decision — Owner calling from Nairobi, on-site PIC, or both must agree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What is the real conversion blocker — price, internet trust, staff resistance, or TMDA scrutiny concern</w:t>
      </w:r>
    </w:p>
    <w:p>
      <w:pPr>
        <w:pStyle w:val="ListParagraph"/>
        <w:numPr>
          <w:ilvl w:val="0"/>
          <w:numId w:val="2"/>
        </w:numPr>
        <w:spacing w:after="80" w:before="0"/>
      </w:pPr>
      <w:r>
        <w:rPr>
          <w:rFonts w:ascii="Arial" w:cs="Arial" w:eastAsia="Arial" w:hAnsi="Arial"/>
          <w:color w:val="0D4035"/>
          <w:sz w:val="22"/>
          <w:szCs w:val="22"/>
        </w:rPr>
        <w:t xml:space="preserve">What is the minimum proof required — does a WhatsApp demo close a deal or does it require an in-person visit</w:t>
      </w:r>
    </w:p>
    <w:p>
      <w:pPr>
        <w:spacing w:after="200" w:before="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0D4035"/>
          <w:sz w:val="36"/>
          <w:szCs w:val="36"/>
        </w:rPr>
        <w:t xml:space="preserve">Contact</w:t>
      </w:r>
    </w:p>
    <w:p>
      <w:pPr>
        <w:pBdr>
          <w:bottom w:val="single" w:color="D6F0E8" w:sz="6" w:space="1"/>
        </w:pBdr>
        <w:spacing w:after="120" w:before="0"/>
      </w:pPr>
      <w:r>
        <w:t xml:space="preserve"/>
      </w:r>
    </w:p>
    <w:p>
      <w:pPr>
        <w:spacing w:after="14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D4035"/>
          <w:sz w:val="22"/>
          <w:szCs w:val="22"/>
        </w:rPr>
        <w:t xml:space="preserve">For partnership enquiries, investor conversations, or pharmacy onboarding:</w:t>
      </w:r>
    </w:p>
    <w:p>
      <w:pPr>
        <w:spacing w:after="80" w:before="0"/>
      </w:pP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b/>
          <w:bCs/>
          <w:color w:val="0D4035"/>
          <w:sz w:val="22"/>
          <w:szCs w:val="22"/>
        </w:rPr>
        <w:t xml:space="preserve">PharmaConnect</w:t>
      </w:r>
      <w:r>
        <w:rPr>
          <w:rFonts w:ascii="Arial" w:cs="Arial" w:eastAsia="Arial" w:hAnsi="Arial"/>
          <w:color w:val="64748B"/>
          <w:sz w:val="22"/>
          <w:szCs w:val="22"/>
        </w:rPr>
        <w:t xml:space="preserve">  •  Arusha, Tanzania</w:t>
      </w:r>
    </w:p>
    <w:p>
      <w:pPr>
        <w:spacing w:after="200" w:before="0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Email: </w:t>
      </w:r>
      <w:r>
        <w:rPr>
          <w:rFonts w:ascii="Arial" w:cs="Arial" w:eastAsia="Arial" w:hAnsi="Arial"/>
          <w:color w:val="1A6B5C"/>
          <w:sz w:val="22"/>
          <w:szCs w:val="22"/>
        </w:rPr>
        <w:t xml:space="preserve">godright.turner@gmail.com</w:t>
      </w:r>
    </w:p>
    <w:p>
      <w:pPr>
        <w:spacing w:after="400" w:before="0"/>
      </w:pPr>
      <w:r>
        <w:t xml:space="preserve"/>
      </w:r>
    </w:p>
    <w:tbl>
      <w:tblPr>
        <w:tblW w:type="dxa" w:w="9026"/>
        <w:tblBorders>
          <w:top w:val="none" w:color="FFFFFF" w:sz="0"/>
          <w:left w:val="single" w:color="1A6B5C" w:sz="18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6F0E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Arial" w:cs="Arial" w:eastAsia="Arial" w:hAnsi="Arial"/>
                <w:i/>
                <w:iCs/>
                <w:color w:val="0D4035"/>
                <w:sz w:val="22"/>
                <w:szCs w:val="22"/>
              </w:rPr>
              <w:t xml:space="preserve">PharmaConnect is built for the pharmacist who is trying to serve their community well, stay compliant, and run a sustainable business — in that order.</w:t>
            </w:r>
          </w:p>
        </w:tc>
      </w:tr>
    </w:tbl>
    <w:p>
      <w:pPr>
        <w:spacing w:after="20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F0E8" w:sz="4" w:space="1"/>
      </w:pBdr>
      <w:spacing w:after="0" w:before="120"/>
    </w:pPr>
    <w:r>
      <w:rPr>
        <w:rFonts w:ascii="Arial" w:cs="Arial" w:eastAsia="Arial" w:hAnsi="Arial"/>
        <w:color w:val="64748B"/>
        <w:sz w:val="16"/>
        <w:szCs w:val="16"/>
      </w:rPr>
      <w:t xml:space="preserve">Confidential • PharmaConnect • April 2026</w:t>
    </w:r>
    <w:r>
      <w:rPr>
        <w:rFonts w:ascii="Arial" w:cs="Arial" w:eastAsia="Arial" w:hAnsi="Arial"/>
        <w:color w:val="64748B"/>
        <w:sz w:val="16"/>
        <w:szCs w:val="16"/>
      </w:rPr>
      <w:t xml:space="preserve">    Page </w:t>
    </w:r>
    <w:r>
      <w:rPr>
        <w:rFonts w:ascii="Arial" w:cs="Arial" w:eastAsia="Arial" w:hAnsi="Arial"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F0E8" w:sz="4" w:space="1"/>
      </w:pBdr>
      <w:spacing w:after="120" w:before="0"/>
    </w:pPr>
    <w:r>
      <w:rPr>
        <w:rFonts w:ascii="Arial" w:cs="Arial" w:eastAsia="Arial" w:hAnsi="Arial"/>
        <w:b/>
        <w:bCs/>
        <w:color w:val="1A6B5C"/>
        <w:sz w:val="18"/>
        <w:szCs w:val="18"/>
      </w:rPr>
      <w:t xml:space="preserve">PharmaConnect</w:t>
    </w:r>
    <w:r>
      <w:rPr>
        <w:rFonts w:ascii="Arial" w:cs="Arial" w:eastAsia="Arial" w:hAnsi="Arial"/>
        <w:color w:val="64748B"/>
        <w:sz w:val="18"/>
        <w:szCs w:val="18"/>
      </w:rPr>
      <w:t xml:space="preserve">  •  Company Overview &amp; Product Pitch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D403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0D4035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1A6B5C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2026-04-24T11:13:29.361Z</dcterms:created>
  <dcterms:modified xsi:type="dcterms:W3CDTF">2026-04-24T11:13:29.362Z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