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6"/>
          <w:szCs w:val="56"/>
        </w:rPr>
        <w:t xml:space="preserve">PHARMACONNECT</w:t>
      </w:r>
    </w:p>
    <w:p>
      <w:pPr>
        <w:spacing w:after="60" w:before="0"/>
      </w:pPr>
      <w:r>
        <w:rPr>
          <w:rFonts w:ascii="Arial" w:cs="Arial" w:eastAsia="Arial" w:hAnsi="Arial"/>
          <w:color w:val="2E5090"/>
          <w:sz w:val="28"/>
          <w:szCs w:val="28"/>
        </w:rPr>
        <w:t xml:space="preserve">Master Action Plan  ·  April 2026</w:t>
      </w:r>
    </w:p>
    <w:p>
      <w:pPr>
        <w:spacing w:after="240" w:before="0"/>
      </w:pPr>
      <w:r>
        <w:rPr>
          <w:rFonts w:ascii="Arial" w:cs="Arial" w:eastAsia="Arial" w:hAnsi="Arial"/>
          <w:i/>
          <w:iCs/>
          <w:color w:val="666666"/>
          <w:sz w:val="22"/>
          <w:szCs w:val="22"/>
        </w:rPr>
        <w:t xml:space="preserve">Done · In Progress · Remaining Tasks</w:t>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1. Strategic Position — Where We Stand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180"/>
              <w:bottom w:type="dxa" w:w="120"/>
              <w:right w:type="dxa" w:w="180"/>
            </w:tcMar>
          </w:tcPr>
          <w:p>
            <w:pPr>
              <w:spacing w:after="0" w:before="0"/>
            </w:pPr>
            <w:r>
              <w:rPr>
                <w:rFonts w:ascii="Arial" w:cs="Arial" w:eastAsia="Arial" w:hAnsi="Arial"/>
                <w:i/>
                <w:iCs/>
                <w:color w:val="333333"/>
                <w:sz w:val="22"/>
                <w:szCs w:val="22"/>
              </w:rPr>
              <w:t xml:space="preserve">The core platform is built. The documents are done. The strategy is set. The only thing that separates PharmaConnect from being a fundable, defensible business is finding and signing the first 10 paying pharmacies. Everything else is sequenced off that milestone.</w:t>
            </w:r>
          </w:p>
        </w:tc>
      </w:tr>
    </w:tbl>
    <w:p>
      <w:pPr>
        <w:spacing w:after="0" w:before="120"/>
      </w:pPr>
      <w:r>
        <w:t xml:space="preserve"/>
      </w:r>
    </w:p>
    <w:p>
      <w:pPr>
        <w:spacing w:after="80" w:before="40"/>
      </w:pPr>
      <w:r>
        <w:rPr>
          <w:rFonts w:ascii="Arial" w:cs="Arial" w:eastAsia="Arial" w:hAnsi="Arial"/>
          <w:sz w:val="22"/>
          <w:szCs w:val="22"/>
        </w:rPr>
        <w:t xml:space="preserve">The competitive window is open and confirmed by current intelligence:</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mPharma (most likely future acquirer) is NOT in Tanzania. As of April 2026, their expansion focus is Francophone West Africa — Ghana, Togo, Benin. Tanzania is clear.</w:t>
      </w:r>
    </w:p>
    <w:p>
      <w:pPr>
        <w:pStyle w:val="ListParagraph"/>
        <w:numPr>
          <w:ilvl w:val="0"/>
          <w:numId w:val="2"/>
        </w:numPr>
        <w:spacing w:after="60" w:before="40"/>
      </w:pPr>
      <w:r>
        <w:rPr>
          <w:rFonts w:ascii="Arial" w:cs="Arial" w:eastAsia="Arial" w:hAnsi="Arial"/>
          <w:sz w:val="22"/>
          <w:szCs w:val="22"/>
        </w:rPr>
        <w:t xml:space="preserve">Maisha Meds confirmed hit by USAID shutdown (Jan 2025). Their enrolled pharmacies in Tanzania are active conversion targets.</w:t>
      </w:r>
    </w:p>
    <w:p>
      <w:pPr>
        <w:pStyle w:val="ListParagraph"/>
        <w:numPr>
          <w:ilvl w:val="0"/>
          <w:numId w:val="2"/>
        </w:numPr>
        <w:spacing w:after="60" w:before="40"/>
      </w:pPr>
      <w:r>
        <w:rPr>
          <w:rFonts w:ascii="Arial" w:cs="Arial" w:eastAsia="Arial" w:hAnsi="Arial"/>
          <w:sz w:val="22"/>
          <w:szCs w:val="22"/>
        </w:rPr>
        <w:t xml:space="preserve">DukaDawa remains POS-only. No clinical tools, no CPD, no TMDA compliance. No recent funding or capability news.</w:t>
      </w:r>
    </w:p>
    <w:p>
      <w:pPr>
        <w:pStyle w:val="ListParagraph"/>
        <w:numPr>
          <w:ilvl w:val="0"/>
          <w:numId w:val="2"/>
        </w:numPr>
        <w:spacing w:after="60" w:before="40"/>
      </w:pPr>
      <w:r>
        <w:rPr>
          <w:rFonts w:ascii="Arial" w:cs="Arial" w:eastAsia="Arial" w:hAnsi="Arial"/>
          <w:sz w:val="22"/>
          <w:szCs w:val="22"/>
        </w:rPr>
        <w:t xml:space="preserve">i3 Cohort 3 (2025) selected mPharma and Dawa Mkononi — not a Tanzania pharmacy OS player. PharmaConnect's differentiation (clinical safety + CPD + offline-first OS) remains unoccupied.</w:t>
      </w:r>
    </w:p>
    <w:p>
      <w:pPr>
        <w:spacing w:after="0" w:before="80"/>
      </w:pPr>
      <w:r>
        <w:t xml:space="preserve"/>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2. Completed — What Is Done</w:t>
      </w:r>
    </w:p>
    <w:p>
      <w:pPr>
        <w:spacing w:after="0" w:before="60"/>
      </w:pPr>
      <w:r>
        <w:t xml:space="preserve"/>
      </w:r>
    </w:p>
    <w:p>
      <w:pPr>
        <w:pStyle w:val="Heading2"/>
        <w:spacing w:after="80" w:before="240"/>
      </w:pPr>
      <w:r>
        <w:rPr>
          <w:rFonts w:ascii="Arial" w:cs="Arial" w:eastAsia="Arial" w:hAnsi="Arial"/>
          <w:b/>
          <w:bCs/>
          <w:color w:val="2E5090"/>
          <w:sz w:val="26"/>
          <w:szCs w:val="26"/>
        </w:rPr>
        <w:t xml:space="preserve">2.1 Platform Build</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Offline-first inventory management with FEFO, expiry monitoring, barcode scanning, low-stock SMS alerts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Session-based dispensing safety suite: drug interaction checker (4 severity levels), contraindication alerts (8 patient flags), dose calculator (Clark's rule + weight-based), NCD usage hints (9 disease areas), diagnosis-drug matching</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EFDMS/VFD compliance integration — runs silently in background, auto-generates TRA-compliant receipts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Owner revenue dashboard — real-time profit/margin visibility</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Closed B2B ordering network (retail pharmacies ordering from wholesale pharmacies on platform)</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CPD education hub MVP — initial modules, knowledge hub access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Tiered pricing structure finalised and locked: ADDO TZS 20K, Standard TZS 55K, Premium TZS 95K, Wholesale TZS 180K</w:t>
      </w:r>
    </w:p>
    <w:p>
      <w:pPr>
        <w:spacing w:after="0" w:before="80"/>
      </w:pPr>
      <w:r>
        <w:t xml:space="preserve"/>
      </w:r>
    </w:p>
    <w:p>
      <w:pPr>
        <w:pStyle w:val="Heading2"/>
        <w:spacing w:after="80" w:before="240"/>
      </w:pPr>
      <w:r>
        <w:rPr>
          <w:rFonts w:ascii="Arial" w:cs="Arial" w:eastAsia="Arial" w:hAnsi="Arial"/>
          <w:b/>
          <w:bCs/>
          <w:color w:val="2E5090"/>
          <w:sz w:val="26"/>
          <w:szCs w:val="26"/>
        </w:rPr>
        <w:t xml:space="preserve">2.2 Strategy &amp; Documents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36-month platform strategy document — phases, KPIs, monetization architecture, exit scenarios (PharmaConnect_Strategy.docx)</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Board recruitment guide — 30 named candidates, six categories, three-wave sequencing with contact details (PharmaConnect_Board_Recruitment.docx)</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Revenue &amp; funder strategy document — pricing rationale, revenue streams, funder framing, what not to lead with (PharmaConnect_Revenue_Funder_Strategy.docx)</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Competitive landscape mapped: mPharma, Dawa Mkononi, Maisha Meds, DukaDawa, Helium Health — positions and differentiation clear</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Medscape blueprint adapted to Tanzania context — monetize network not practitioner principle established</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UHI/NHIF deprioritized — removed from all pitch and feature materials</w:t>
      </w:r>
    </w:p>
    <w:p>
      <w:pPr>
        <w:spacing w:after="0" w:before="80"/>
      </w:pPr>
      <w:r>
        <w:t xml:space="preserve"/>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3. In Progress — Active Work Streams</w:t>
      </w:r>
    </w:p>
    <w:p>
      <w:pPr>
        <w:spacing w:after="0" w:before="60"/>
      </w:pPr>
      <w:r>
        <w:t xml:space="preserve"/>
      </w:r>
    </w:p>
    <w:p>
      <w:pPr>
        <w:pStyle w:val="Heading2"/>
        <w:spacing w:after="80" w:before="240"/>
      </w:pPr>
      <w:r>
        <w:rPr>
          <w:rFonts w:ascii="Arial" w:cs="Arial" w:eastAsia="Arial" w:hAnsi="Arial"/>
          <w:b/>
          <w:bCs/>
          <w:color w:val="2E5090"/>
          <w:sz w:val="26"/>
          <w:szCs w:val="26"/>
        </w:rPr>
        <w:t xml:space="preserve">3.1 Product Development (Ongoing — Vibe Coding Phase)</w:t>
      </w:r>
    </w:p>
    <w:p>
      <w:pPr>
        <w:spacing w:after="80" w:before="40"/>
      </w:pPr>
      <w:r>
        <w:rPr>
          <w:rFonts w:ascii="Arial" w:cs="Arial" w:eastAsia="Arial" w:hAnsi="Arial"/>
          <w:sz w:val="22"/>
          <w:szCs w:val="22"/>
        </w:rPr>
        <w:t xml:space="preserve">Building continues using Claude Code until 50 paying pharmacies, then hire a developer. Bootstrap capital: TZS 2.4M saved.</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Refining offline-first sync-when-connected architecture for reliability in low-connectivity Arusha pharmacies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CPD education hub: expanding initial modules, structuring CPD credit tracking toward Pharmacy Council requirements</w:t>
      </w:r>
    </w:p>
    <w:p>
      <w:pPr>
        <w:pStyle w:val="ListParagraph"/>
        <w:numPr>
          <w:ilvl w:val="0"/>
          <w:numId w:val="2"/>
        </w:numPr>
        <w:spacing w:after="60" w:before="40"/>
      </w:pPr>
      <w:r>
        <w:rPr>
          <w:rFonts w:ascii="Arial" w:cs="Arial" w:eastAsia="Arial" w:hAnsi="Arial"/>
          <w:sz w:val="22"/>
          <w:szCs w:val="22"/>
        </w:rPr>
        <w:t xml:space="preserve">⏳  </w:t>
      </w:r>
      <w:r>
        <w:rPr>
          <w:rFonts w:ascii="Arial" w:cs="Arial" w:eastAsia="Arial" w:hAnsi="Arial"/>
          <w:sz w:val="22"/>
          <w:szCs w:val="22"/>
        </w:rPr>
        <w:t xml:space="preserve">Premium tier owner dashboard: predictive low-stock (7–14 days), demand forecasting, peer benchmarking (opt-in, anonymised)</w:t>
      </w:r>
    </w:p>
    <w:p>
      <w:pPr>
        <w:spacing w:after="0" w:before="80"/>
      </w:pPr>
      <w:r>
        <w:t xml:space="preserve"/>
      </w:r>
    </w:p>
    <w:p>
      <w:pPr>
        <w:pStyle w:val="Heading2"/>
        <w:spacing w:after="80" w:before="240"/>
      </w:pPr>
      <w:r>
        <w:rPr>
          <w:rFonts w:ascii="Arial" w:cs="Arial" w:eastAsia="Arial" w:hAnsi="Arial"/>
          <w:b/>
          <w:bCs/>
          <w:color w:val="2E5090"/>
          <w:sz w:val="26"/>
          <w:szCs w:val="26"/>
        </w:rPr>
        <w:t xml:space="preserve">3.2 Board Recruitment — Wave 1</w:t>
      </w:r>
    </w:p>
    <w:p>
      <w:pPr>
        <w:spacing w:after="80" w:before="40"/>
      </w:pPr>
      <w:r>
        <w:rPr>
          <w:rFonts w:ascii="Arial" w:cs="Arial" w:eastAsia="Arial" w:hAnsi="Arial"/>
          <w:sz w:val="22"/>
          <w:szCs w:val="22"/>
        </w:rPr>
        <w:t xml:space="preserve">Five-seat Wave 1 board targets identified. Outreach is the active work.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Candidate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 Organisation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Outreach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Fadhili Hezekiah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PST President — pharmacy owner trust + CPD mandate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Contact via pst.or.tz — PRIORITY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Mbwana Alliy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Savannah Fund — governance + VC, Arusha-based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Direct approach LinkedIn/Savannah Fund Arusha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Romuald Mbwasi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Apotheker Consultancy — ADDO ground-level knowledge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Contact: rmbwasi@gmail.com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Jafary Liana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MSH Tanzania — ADDO field operations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Contact: jliana@msh.org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Paul Youn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D-Prize / Maisha Meds alum — funder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Approach via d-prize.org</w:t>
            </w:r>
          </w:p>
        </w:tc>
      </w:tr>
    </w:tbl>
    <w:p>
      <w:pPr>
        <w:spacing w:after="0" w:before="80"/>
      </w:pPr>
      <w:r>
        <w:t xml:space="preserve"/>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4. Remaining Tasks — Sequenced by Priority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i/>
                <w:iCs/>
                <w:color w:val="333333"/>
                <w:sz w:val="22"/>
                <w:szCs w:val="22"/>
              </w:rPr>
              <w:t xml:space="preserve">Tasks below are ordered by dependency, not urgency. The first 10 paying pharmacies unlock everything else. Do not move resources from pharmacy acquisition to funding applications until that milestone is hit.</w:t>
            </w:r>
          </w:p>
        </w:tc>
      </w:tr>
    </w:tbl>
    <w:p>
      <w:pPr>
        <w:spacing w:after="0" w:before="120"/>
      </w:pPr>
      <w:r>
        <w:t xml:space="preserve"/>
      </w:r>
    </w:p>
    <w:p>
      <w:pPr>
        <w:pStyle w:val="Heading2"/>
        <w:spacing w:after="80" w:before="240"/>
      </w:pPr>
      <w:r>
        <w:rPr>
          <w:rFonts w:ascii="Arial" w:cs="Arial" w:eastAsia="Arial" w:hAnsi="Arial"/>
          <w:b/>
          <w:bCs/>
          <w:color w:val="2E5090"/>
          <w:sz w:val="26"/>
          <w:szCs w:val="26"/>
        </w:rPr>
        <w:t xml:space="preserve">4.1 IMMEDIATE — Find the First 10 Paying Pharmacies (Arusha)</w:t>
      </w:r>
    </w:p>
    <w:p>
      <w:pPr>
        <w:spacing w:after="80" w:before="40"/>
      </w:pPr>
      <w:r>
        <w:rPr>
          <w:rFonts w:ascii="Arial" w:cs="Arial" w:eastAsia="Arial" w:hAnsi="Arial"/>
          <w:sz w:val="22"/>
          <w:szCs w:val="22"/>
        </w:rPr>
        <w:t xml:space="preserve">This is the only task that matters right now. Everything else is sequenced off this.</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Identify 20–30 Arusha pharmacies that already have a visible pain point: stock losses, TMDA compliance anxiety, owner not on-site daily, or previous bad experience with paper/Excel.</w:t>
      </w:r>
    </w:p>
    <w:p>
      <w:pPr>
        <w:pStyle w:val="ListParagraph"/>
        <w:numPr>
          <w:ilvl w:val="0"/>
          <w:numId w:val="2"/>
        </w:numPr>
        <w:spacing w:after="60" w:before="40"/>
      </w:pPr>
      <w:r>
        <w:rPr>
          <w:rFonts w:ascii="Arial" w:cs="Arial" w:eastAsia="Arial" w:hAnsi="Arial"/>
          <w:sz w:val="22"/>
          <w:szCs w:val="22"/>
        </w:rPr>
        <w:t xml:space="preserve">Lead every conversation with: inventory management + revenue dashboard. Do not lead with CPD, EFDMS, or NHIF.</w:t>
      </w:r>
    </w:p>
    <w:p>
      <w:pPr>
        <w:pStyle w:val="ListParagraph"/>
        <w:numPr>
          <w:ilvl w:val="0"/>
          <w:numId w:val="2"/>
        </w:numPr>
        <w:spacing w:after="60" w:before="40"/>
      </w:pPr>
      <w:r>
        <w:rPr>
          <w:rFonts w:ascii="Arial" w:cs="Arial" w:eastAsia="Arial" w:hAnsi="Arial"/>
          <w:sz w:val="22"/>
          <w:szCs w:val="22"/>
        </w:rPr>
        <w:t xml:space="preserve">Run 30-day free trials with a hard end date and no extensions — reveals genuine value seekers vs. polite tolerators.</w:t>
      </w:r>
    </w:p>
    <w:p>
      <w:pPr>
        <w:pStyle w:val="ListParagraph"/>
        <w:numPr>
          <w:ilvl w:val="0"/>
          <w:numId w:val="2"/>
        </w:numPr>
        <w:spacing w:after="60" w:before="40"/>
      </w:pPr>
      <w:r>
        <w:rPr>
          <w:rFonts w:ascii="Arial" w:cs="Arial" w:eastAsia="Arial" w:hAnsi="Arial"/>
          <w:sz w:val="22"/>
          <w:szCs w:val="22"/>
        </w:rPr>
        <w:t xml:space="preserve">Target Standard tier (TZS 55,000/month) as primary conversion. First 10 Standard pharmacies = TZS 550,000 MRR = operating costs covered.</w:t>
      </w:r>
    </w:p>
    <w:p>
      <w:pPr>
        <w:pStyle w:val="ListParagraph"/>
        <w:numPr>
          <w:ilvl w:val="0"/>
          <w:numId w:val="2"/>
        </w:numPr>
        <w:spacing w:after="60" w:before="40"/>
      </w:pPr>
      <w:r>
        <w:rPr>
          <w:rFonts w:ascii="Arial" w:cs="Arial" w:eastAsia="Arial" w:hAnsi="Arial"/>
          <w:sz w:val="22"/>
          <w:szCs w:val="22"/>
        </w:rPr>
        <w:t xml:space="preserve">Document every trial: what they used daily, what they ignored, what problem they called you about. This becomes your acquisition story.</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4.2 IMMEDIATE — COSTECH Credit Guarantee Scheme</w:t>
      </w:r>
    </w:p>
    <w:p>
      <w:pPr>
        <w:spacing w:after="80" w:before="40"/>
      </w:pPr>
      <w:r>
        <w:rPr>
          <w:rFonts w:ascii="Arial" w:cs="Arial" w:eastAsia="Arial" w:hAnsi="Arial"/>
          <w:sz w:val="22"/>
          <w:szCs w:val="22"/>
        </w:rPr>
        <w:t xml:space="preserve">Active scheme. CRDB Bank Foundation partnership confirmed. Apply now — requires least traction of any funder.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Confirm eligibility: majority Tanzanian ownership (confirmed), registered local entity, MVP in production.</w:t>
      </w:r>
    </w:p>
    <w:p>
      <w:pPr>
        <w:pStyle w:val="ListParagraph"/>
        <w:numPr>
          <w:ilvl w:val="0"/>
          <w:numId w:val="2"/>
        </w:numPr>
        <w:spacing w:after="60" w:before="40"/>
      </w:pPr>
      <w:r>
        <w:rPr>
          <w:rFonts w:ascii="Arial" w:cs="Arial" w:eastAsia="Arial" w:hAnsi="Arial"/>
          <w:sz w:val="22"/>
          <w:szCs w:val="22"/>
        </w:rPr>
        <w:t xml:space="preserve">Apply at cgs.costech.or.tz — prepare: business plan, MVP demo, projected employment creation, revenue trajectory.</w:t>
      </w:r>
    </w:p>
    <w:p>
      <w:pPr>
        <w:pStyle w:val="ListParagraph"/>
        <w:numPr>
          <w:ilvl w:val="0"/>
          <w:numId w:val="2"/>
        </w:numPr>
        <w:spacing w:after="60" w:before="40"/>
      </w:pPr>
      <w:r>
        <w:rPr>
          <w:rFonts w:ascii="Arial" w:cs="Arial" w:eastAsia="Arial" w:hAnsi="Arial"/>
          <w:sz w:val="22"/>
          <w:szCs w:val="22"/>
        </w:rPr>
        <w:t xml:space="preserve">Ecosystem contact: Jumanne Mtambalike (Buni/COSTECH) — approach founder-to-founder for navigation guidance before submitting. Do not ask for a board seat.</w:t>
      </w:r>
    </w:p>
    <w:p>
      <w:pPr>
        <w:pStyle w:val="ListParagraph"/>
        <w:numPr>
          <w:ilvl w:val="0"/>
          <w:numId w:val="2"/>
        </w:numPr>
        <w:spacing w:after="60" w:before="40"/>
      </w:pPr>
      <w:r>
        <w:rPr>
          <w:rFonts w:ascii="Arial" w:cs="Arial" w:eastAsia="Arial" w:hAnsi="Arial"/>
          <w:sz w:val="22"/>
          <w:szCs w:val="22"/>
        </w:rPr>
        <w:t xml:space="preserve">COSTECH approval signals government backing — valuable for TMDA and MoH relationships downstream.</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4.3 IMMEDIATE — PST Partnership Proposal to Fadhili Hezekiah</w:t>
      </w:r>
    </w:p>
    <w:p>
      <w:pPr>
        <w:spacing w:after="80" w:before="40"/>
      </w:pPr>
      <w:r>
        <w:rPr>
          <w:rFonts w:ascii="Arial" w:cs="Arial" w:eastAsia="Arial" w:hAnsi="Arial"/>
          <w:sz w:val="22"/>
          <w:szCs w:val="22"/>
        </w:rPr>
        <w:t xml:space="preserve">This is the highest-leverage single outreach in the entire plan. Do not delay.</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Proposal: PharmaConnect becomes PST's official digital CPD delivery mechanism. PST members get free access to the education platform. In return, PST endorses and promotes PharmaConnect to its members.</w:t>
      </w:r>
    </w:p>
    <w:p>
      <w:pPr>
        <w:pStyle w:val="ListParagraph"/>
        <w:numPr>
          <w:ilvl w:val="0"/>
          <w:numId w:val="2"/>
        </w:numPr>
        <w:spacing w:after="60" w:before="40"/>
      </w:pPr>
      <w:r>
        <w:rPr>
          <w:rFonts w:ascii="Arial" w:cs="Arial" w:eastAsia="Arial" w:hAnsi="Arial"/>
          <w:sz w:val="22"/>
          <w:szCs w:val="22"/>
        </w:rPr>
        <w:t xml:space="preserve">Hezekiah's CPD mandate push is stalled without a digital delivery mechanism — PharmaConnect is the solution he has been waiting for.</w:t>
      </w:r>
    </w:p>
    <w:p>
      <w:pPr>
        <w:pStyle w:val="ListParagraph"/>
        <w:numPr>
          <w:ilvl w:val="0"/>
          <w:numId w:val="2"/>
        </w:numPr>
        <w:spacing w:after="60" w:before="40"/>
      </w:pPr>
      <w:r>
        <w:rPr>
          <w:rFonts w:ascii="Arial" w:cs="Arial" w:eastAsia="Arial" w:hAnsi="Arial"/>
          <w:sz w:val="22"/>
          <w:szCs w:val="22"/>
        </w:rPr>
        <w:t xml:space="preserve">A PST endorsement is the credibility signal that turns a cold pharmacy visit into a warm one. It closes Gap 1 (pharmacy owner trust) simultaneously with Gap 2 (regulatory relationship).</w:t>
      </w:r>
    </w:p>
    <w:p>
      <w:pPr>
        <w:pStyle w:val="ListParagraph"/>
        <w:numPr>
          <w:ilvl w:val="0"/>
          <w:numId w:val="2"/>
        </w:numPr>
        <w:spacing w:after="60" w:before="40"/>
      </w:pPr>
      <w:r>
        <w:rPr>
          <w:rFonts w:ascii="Arial" w:cs="Arial" w:eastAsia="Arial" w:hAnsi="Arial"/>
          <w:sz w:val="22"/>
          <w:szCs w:val="22"/>
        </w:rPr>
        <w:t xml:space="preserve">Approach through pst.or.tz or attend/sponsor any upcoming PST Arusha events.</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4.4 URGENT INTELLIGENCE — Tony Elumelu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180"/>
              <w:bottom w:type="dxa" w:w="120"/>
              <w:right w:type="dxa" w:w="180"/>
            </w:tcMar>
          </w:tcPr>
          <w:p>
            <w:pPr>
              <w:spacing w:after="0" w:before="0"/>
            </w:pPr>
            <w:r>
              <w:rPr>
                <w:rFonts w:ascii="Arial" w:cs="Arial" w:eastAsia="Arial" w:hAnsi="Arial"/>
                <w:i/>
                <w:iCs/>
                <w:color w:val="333333"/>
                <w:sz w:val="22"/>
                <w:szCs w:val="22"/>
              </w:rPr>
              <w:t xml:space="preserve">DEADLINE PASSED. The 2026 TEF application window closed on 1 March 2026. Next window opens January 2027. Flag this for next cycle — the $5,000 grant is non-equity and legitimises the founding narrative.</w:t>
            </w:r>
          </w:p>
        </w:tc>
      </w:tr>
    </w:tbl>
    <w:p>
      <w:pPr>
        <w:spacing w:after="0" w:before="80"/>
      </w:pPr>
      <w:r>
        <w:t xml:space="preserve"/>
      </w:r>
    </w:p>
    <w:p>
      <w:pPr>
        <w:pStyle w:val="Heading2"/>
        <w:spacing w:after="80" w:before="240"/>
      </w:pPr>
      <w:r>
        <w:rPr>
          <w:rFonts w:ascii="Arial" w:cs="Arial" w:eastAsia="Arial" w:hAnsi="Arial"/>
          <w:b/>
          <w:bCs/>
          <w:color w:val="2E5090"/>
          <w:sz w:val="26"/>
          <w:szCs w:val="26"/>
        </w:rPr>
        <w:t xml:space="preserve">4.5 AFTER 10 PAYING PHARMACIES — Board Wave 1 Outreach</w:t>
      </w:r>
    </w:p>
    <w:p>
      <w:pPr>
        <w:spacing w:after="80" w:before="40"/>
      </w:pPr>
      <w:r>
        <w:rPr>
          <w:rFonts w:ascii="Arial" w:cs="Arial" w:eastAsia="Arial" w:hAnsi="Arial"/>
          <w:sz w:val="22"/>
          <w:szCs w:val="22"/>
        </w:rPr>
        <w:t xml:space="preserve">Mbwana Alliy (Savannah Fund, Arusha) is your most accessible board candidate. Ten paying pharmacies is the data point that makes the conversation worth having.</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Approach Mbwana Alliy first among investors — he is Tanzanian, Arusha-based, and has publicly said backing a Tanzanian startup would be his proudest moment. No warm intro needed.</w:t>
      </w:r>
    </w:p>
    <w:p>
      <w:pPr>
        <w:pStyle w:val="ListParagraph"/>
        <w:numPr>
          <w:ilvl w:val="0"/>
          <w:numId w:val="2"/>
        </w:numPr>
        <w:spacing w:after="60" w:before="40"/>
      </w:pPr>
      <w:r>
        <w:rPr>
          <w:rFonts w:ascii="Arial" w:cs="Arial" w:eastAsia="Arial" w:hAnsi="Arial"/>
          <w:sz w:val="22"/>
          <w:szCs w:val="22"/>
        </w:rPr>
        <w:t xml:space="preserve">Approach Paul Youn (D-Prize) with: 'You know Maisha Meds from the inside. We are building the missing piece — clinical safety, management OS, CPD compliance. Not supply chain.' Lead with differentiation.</w:t>
      </w:r>
    </w:p>
    <w:p>
      <w:pPr>
        <w:pStyle w:val="ListParagraph"/>
        <w:numPr>
          <w:ilvl w:val="0"/>
          <w:numId w:val="2"/>
        </w:numPr>
        <w:spacing w:after="60" w:before="40"/>
      </w:pPr>
      <w:r>
        <w:rPr>
          <w:rFonts w:ascii="Arial" w:cs="Arial" w:eastAsia="Arial" w:hAnsi="Arial"/>
          <w:sz w:val="22"/>
          <w:szCs w:val="22"/>
        </w:rPr>
        <w:t xml:space="preserve">Approach Romuald Mbwasi (rmbwasi@gmail.com): 'We are digitizing the ADDO programme you helped build. We want someone who knows what actually happens inside an ADDO.'</w:t>
      </w:r>
    </w:p>
    <w:p>
      <w:pPr>
        <w:pStyle w:val="ListParagraph"/>
        <w:numPr>
          <w:ilvl w:val="0"/>
          <w:numId w:val="2"/>
        </w:numPr>
        <w:spacing w:after="60" w:before="40"/>
      </w:pPr>
      <w:r>
        <w:rPr>
          <w:rFonts w:ascii="Arial" w:cs="Arial" w:eastAsia="Arial" w:hAnsi="Arial"/>
          <w:sz w:val="22"/>
          <w:szCs w:val="22"/>
        </w:rPr>
        <w:t xml:space="preserve">Approach Jafary Liana (jliana@msh.org): 'You built the field operations. We are building the digital infrastructure. We need the person who knows what the field actually looks like.'</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4.6 AFTER 3 MONTHS PILOT DATA — Funding Applications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Funder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Amount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&amp; What to Lead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Villgro Africa / HealthTech Hub Africa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~$115K grant / ~$357K equity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After 3 months data — apply via VC4A. Warm path: Wilfred Njagi intro.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FUNGUO Innovation Programme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Tanzania government grant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After 3 months data — TMDA + MoH relationships, Tanzania-specific mandate.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i3 Cohort 4 (Gates/MSD/Sanofi/Cencora)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Up to $225K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Expected late 2026. Differentiate from Dawa Mkononi (supply chain) via clinical safety + CPD. Most important grant.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Flat6Labs Africa Seed Fund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Up to $500K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Phase 2 — after pilot data. IFC-backed.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Tony Elumelu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$5,000 non-equity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Next window: January 2027.</w:t>
            </w:r>
          </w:p>
        </w:tc>
      </w:tr>
    </w:tbl>
    <w:p>
      <w:pPr>
        <w:spacing w:after="0" w:before="80"/>
      </w:pPr>
      <w:r>
        <w:t xml:space="preserve"/>
      </w:r>
    </w:p>
    <w:p>
      <w:pPr>
        <w:pStyle w:val="Heading2"/>
        <w:spacing w:after="80" w:before="240"/>
      </w:pPr>
      <w:r>
        <w:rPr>
          <w:rFonts w:ascii="Arial" w:cs="Arial" w:eastAsia="Arial" w:hAnsi="Arial"/>
          <w:b/>
          <w:bCs/>
          <w:color w:val="2E5090"/>
          <w:sz w:val="26"/>
          <w:szCs w:val="26"/>
        </w:rPr>
        <w:t xml:space="preserve">4.7 AFTER 50 PHARMACIES — CPD Pharma Sponsorship Conversations</w:t>
      </w:r>
    </w:p>
    <w:p>
      <w:pPr>
        <w:spacing w:after="80" w:before="40"/>
      </w:pPr>
      <w:r>
        <w:rPr>
          <w:rFonts w:ascii="Arial" w:cs="Arial" w:eastAsia="Arial" w:hAnsi="Arial"/>
          <w:sz w:val="22"/>
          <w:szCs w:val="22"/>
        </w:rPr>
        <w:t xml:space="preserve">Do not begin these conversations before 50 pharmacists are actively using the platform. The conversation requires evidence of engagement, not just a product roadmap.</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Primary target: Boehringer Ingelheim — already invested in Dawa Mkononi and Kasha in Tanzania. Social engagement fund is active in East Africa. Franchise focus: diabetes + respiratory — both strong CPD module categories.</w:t>
      </w:r>
    </w:p>
    <w:p>
      <w:pPr>
        <w:pStyle w:val="ListParagraph"/>
        <w:numPr>
          <w:ilvl w:val="0"/>
          <w:numId w:val="2"/>
        </w:numPr>
        <w:spacing w:after="60" w:before="40"/>
      </w:pPr>
      <w:r>
        <w:rPr>
          <w:rFonts w:ascii="Arial" w:cs="Arial" w:eastAsia="Arial" w:hAnsi="Arial"/>
          <w:sz w:val="22"/>
          <w:szCs w:val="22"/>
        </w:rPr>
        <w:t xml:space="preserve">Secondary targets: Sanofi Global Health Unit (diabetes, infectious disease), Pfizer (antimicrobial stewardship — aligns with TMDA priorities).</w:t>
      </w:r>
    </w:p>
    <w:p>
      <w:pPr>
        <w:pStyle w:val="ListParagraph"/>
        <w:numPr>
          <w:ilvl w:val="0"/>
          <w:numId w:val="2"/>
        </w:numPr>
        <w:spacing w:after="60" w:before="40"/>
      </w:pPr>
      <w:r>
        <w:rPr>
          <w:rFonts w:ascii="Arial" w:cs="Arial" w:eastAsia="Arial" w:hAnsi="Arial"/>
          <w:sz w:val="22"/>
          <w:szCs w:val="22"/>
        </w:rPr>
        <w:t xml:space="preserve">Framing: PharmaConnect gives you 50+ verified, licensed Tanzanian pharmacists completing your sponsored module, with CPD credit tracking. This is not advertising — it is professional development with measurable reach.</w:t>
      </w:r>
    </w:p>
    <w:p>
      <w:pPr>
        <w:pStyle w:val="ListParagraph"/>
        <w:numPr>
          <w:ilvl w:val="0"/>
          <w:numId w:val="2"/>
        </w:numPr>
        <w:spacing w:after="60" w:before="40"/>
      </w:pPr>
      <w:r>
        <w:rPr>
          <w:rFonts w:ascii="Arial" w:cs="Arial" w:eastAsia="Arial" w:hAnsi="Arial"/>
          <w:sz w:val="22"/>
          <w:szCs w:val="22"/>
        </w:rPr>
        <w:t xml:space="preserve">Revenue target: TZS 3M–8M per sponsored module. At 4–5 modules/year from 2–3 companies: TZS 24M–120M annually.</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4.8 AFTER 50 PHARMACIES — Academic Partnership MOU</w:t>
      </w:r>
    </w:p>
    <w:p>
      <w:pPr>
        <w:pStyle w:val="ListParagraph"/>
        <w:numPr>
          <w:ilvl w:val="0"/>
          <w:numId w:val="2"/>
        </w:numPr>
        <w:spacing w:after="60" w:before="40"/>
      </w:pPr>
      <w:r>
        <w:rPr>
          <w:rFonts w:ascii="Arial" w:cs="Arial" w:eastAsia="Arial" w:hAnsi="Arial"/>
          <w:sz w:val="22"/>
          <w:szCs w:val="22"/>
        </w:rPr>
        <w:t xml:space="preserve">Approach Prof. Omary Minzi (MUHAS) for a research MOU. Offer PharmaConnect as a research site for his antibiotic stewardship and dispensing quality work. MUHAS provides institutional credibility for grant applications; PharmaConnect provides real-world data.</w:t>
      </w:r>
    </w:p>
    <w:p>
      <w:pPr>
        <w:pStyle w:val="ListParagraph"/>
        <w:numPr>
          <w:ilvl w:val="0"/>
          <w:numId w:val="2"/>
        </w:numPr>
        <w:spacing w:after="60" w:before="40"/>
      </w:pPr>
      <w:r>
        <w:rPr>
          <w:rFonts w:ascii="Arial" w:cs="Arial" w:eastAsia="Arial" w:hAnsi="Arial"/>
          <w:sz w:val="22"/>
          <w:szCs w:val="22"/>
        </w:rPr>
        <w:t xml:space="preserve">Begin outreach to Prof. Catherine Goodman (LSHTM, catherine.goodman@lshtm.ac.uk) — framing: 'We have 100 pharmacies generating real transaction, dispensing, and CPD data. Partner with us to turn that data into publishable evidence.' Her citation in a grant application is the single most powerful signal for Gates/USAID reviewers.</w:t>
      </w:r>
    </w:p>
    <w:p>
      <w:pPr>
        <w:spacing w:after="0" w:before="80"/>
      </w:pPr>
      <w:r>
        <w:t xml:space="preserve"/>
      </w:r>
    </w:p>
    <w:p>
      <w:pPr>
        <w:pStyle w:val="Heading2"/>
        <w:spacing w:after="80" w:before="240"/>
      </w:pPr>
      <w:r>
        <w:rPr>
          <w:rFonts w:ascii="Arial" w:cs="Arial" w:eastAsia="Arial" w:hAnsi="Arial"/>
          <w:b/>
          <w:bCs/>
          <w:color w:val="2E5090"/>
          <w:sz w:val="26"/>
          <w:szCs w:val="26"/>
        </w:rPr>
        <w:t xml:space="preserve">4.9 AFTER 100 PHARMACIES — Wave 2 Board and Dar es Salaam Expansion</w:t>
      </w:r>
    </w:p>
    <w:p>
      <w:pPr>
        <w:pStyle w:val="ListParagraph"/>
        <w:numPr>
          <w:ilvl w:val="0"/>
          <w:numId w:val="2"/>
        </w:numPr>
        <w:spacing w:after="60" w:before="40"/>
      </w:pPr>
      <w:r>
        <w:rPr>
          <w:rFonts w:ascii="Arial" w:cs="Arial" w:eastAsia="Arial" w:hAnsi="Arial"/>
          <w:sz w:val="22"/>
          <w:szCs w:val="22"/>
        </w:rPr>
        <w:t xml:space="preserve">Recruit Wave 2 board: Amaan Khalfan (Goodlife Pharmacy, scaled 37 to 150 outlets — knows this operational challenge from the inside), Rowena Luk (Africa Health Ventures) or Sewu-Steve Tawia (Jaza Rift Ventures).</w:t>
      </w:r>
    </w:p>
    <w:p>
      <w:pPr>
        <w:pStyle w:val="ListParagraph"/>
        <w:numPr>
          <w:ilvl w:val="0"/>
          <w:numId w:val="2"/>
        </w:numPr>
        <w:spacing w:after="60" w:before="40"/>
      </w:pPr>
      <w:r>
        <w:rPr>
          <w:rFonts w:ascii="Arial" w:cs="Arial" w:eastAsia="Arial" w:hAnsi="Arial"/>
          <w:sz w:val="22"/>
          <w:szCs w:val="22"/>
        </w:rPr>
        <w:t xml:space="preserve">Expansion to Dar es Salaam (60–70% of Tanzania's registered pharmacies). Target 200–300 additional pharmacies by month 12.</w:t>
      </w:r>
    </w:p>
    <w:p>
      <w:pPr>
        <w:pStyle w:val="ListParagraph"/>
        <w:numPr>
          <w:ilvl w:val="0"/>
          <w:numId w:val="2"/>
        </w:numPr>
        <w:spacing w:after="60" w:before="40"/>
      </w:pPr>
      <w:r>
        <w:rPr>
          <w:rFonts w:ascii="Arial" w:cs="Arial" w:eastAsia="Arial" w:hAnsi="Arial"/>
          <w:sz w:val="22"/>
          <w:szCs w:val="22"/>
        </w:rPr>
        <w:t xml:space="preserve">Begin ADDO-specific product adaptation — different workflow, compliance requirements, and owner economics from registered pharmacies.</w:t>
      </w:r>
    </w:p>
    <w:p>
      <w:pPr>
        <w:pStyle w:val="ListParagraph"/>
        <w:numPr>
          <w:ilvl w:val="0"/>
          <w:numId w:val="2"/>
        </w:numPr>
        <w:spacing w:after="60" w:before="40"/>
      </w:pPr>
      <w:r>
        <w:rPr>
          <w:rFonts w:ascii="Arial" w:cs="Arial" w:eastAsia="Arial" w:hAnsi="Arial"/>
          <w:sz w:val="22"/>
          <w:szCs w:val="22"/>
        </w:rPr>
        <w:t xml:space="preserve">Approach Benjamin Fernandes (NALA) founder-to-founder: ask for a 30-minute advice conversation, not a board seat. 'Mbwana Alliy is on our board' is the sentence that opens this door.</w:t>
      </w:r>
    </w:p>
    <w:p>
      <w:pPr>
        <w:spacing w:after="0" w:before="80"/>
      </w:pPr>
      <w:r>
        <w:t xml:space="preserve"/>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5. Current Intelligence — Updates Since Strategy Was Written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Tony Elumelu Foundation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CLOSED. Application window was 1 Jan – 1 Mar 2026. Missed for this cycle. Calendar next window: January 2027.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mPharma Tanzania threat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IMMEDIATE THREAT. As of April 2026, expansion focus is Francophone West Africa (Ghana, Togo, Benin). Tanzania window remains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i3 Program — Cohort 3 (2025)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Cohort 3 includes mPharma AND Dawa Mkononi. PharmaConnect's differentiation (clinical safety + CPD + offline-first OS) is clearly absent from the cohort — the gap exists. Apply to Cohort 4 (expected late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Maisha Meds post-USAID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Confirmed operational impact from USAID shutdown (Jan 2025). Enrolled pharmacies remain active conversion targets. USAID dependency risk validated as PharmaConnect's key commercial model differentiator.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DukaDawa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new funding, no capability expansion found. Direct competitor position unchanged — POS and inventory only, no clinical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COSTECH CGS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Active. CRDB Bank Foundation partnership confirmed (TZS 2.3B fund). Apply now at cgs.costech.or.tz.</w:t>
            </w:r>
          </w:p>
        </w:tc>
      </w:tr>
    </w:tbl>
    <w:p>
      <w:pPr>
        <w:spacing w:after="0" w:before="80"/>
      </w:pPr>
      <w:r>
        <w:t xml:space="preserve"/>
      </w:r>
    </w:p>
    <w:p>
      <w:pPr>
        <w:pBdr>
          <w:bottom w:val="single" w:color="2E5090"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6. Milestone Tracker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Milestone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Unlocks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 paying pharmacies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As soon as possible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Operating costs covered (TZS 550K MRR at Standard). COSTECH application credible. Board outreach begins.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 months pilot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Month 3 from first paying pharmacy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Villgro Africa + FUNGUO applications. Drug interaction + clinical safety data story for i3.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 active pharmacies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Month 6 (Phase 1 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CPD pharma sponsorship conversations begin. MUHAS research MOU. Wave 2 board conversations.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100 active pharmacies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Month 8–10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i3 Cohort 4 application (late 2026). Wave 2 board recruitment. Benjamin Fernandes outreach.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200 pharmacies, Dar es Salaam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Month 12 (Phase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Data licensing pilot. Embedded lending MVP (CRDB/NMB). B2B marketplace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1,000+ pharmacies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Month 18–24 (Phase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AI clinical decision support. Series A readiness. mPharma acquisition conversation.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180"/>
              <w:bottom w:type="dxa" w:w="120"/>
              <w:right w:type="dxa" w:w="180"/>
            </w:tcMar>
          </w:tcPr>
          <w:p>
            <w:pPr>
              <w:spacing w:after="0" w:before="0"/>
            </w:pPr>
            <w:r>
              <w:rPr>
                <w:rFonts w:ascii="Arial" w:cs="Arial" w:eastAsia="Arial" w:hAnsi="Arial"/>
                <w:i/>
                <w:iCs/>
                <w:color w:val="333333"/>
                <w:sz w:val="22"/>
                <w:szCs w:val="22"/>
              </w:rPr>
              <w:t xml:space="preserve">The single most important strategic principle: Build the pharmacy OS first. Layer education and data second. Monetize the network, not the practitioner. The pharmacy subscription stays low-cost. Revenue comes from pharma companies, data consumers, marketplace commissions, and embedded finance.
The single most important tactical principle right now: Find the 10 pharmacies that already see the value and will pay from day one. Build deeply with them. Let their results do the selling to everyone else.</w:t>
            </w:r>
          </w:p>
        </w:tc>
      </w:tr>
    </w:tbl>
    <w:p>
      <w:pPr>
        <w:spacing w:after="0" w:before="120"/>
      </w:pPr>
      <w:r>
        <w:t xml:space="preserve"/>
      </w:r>
    </w:p>
    <w:p>
      <w:pPr>
        <w:spacing w:after="0" w:before="120"/>
        <w:jc w:val="right"/>
      </w:pPr>
      <w:r>
        <w:rPr>
          <w:rFonts w:ascii="Arial" w:cs="Arial" w:eastAsia="Arial" w:hAnsi="Arial"/>
          <w:i/>
          <w:iCs/>
          <w:color w:val="999999"/>
          <w:sz w:val="18"/>
          <w:szCs w:val="18"/>
        </w:rPr>
        <w:t xml:space="preserve">April 2026  ·  Arusha, Tanzania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77777"/>
        <w:sz w:val="16"/>
        <w:szCs w:val="16"/>
      </w:rPr>
      <w:t xml:space="preserve">Elihaki M. Y. Javan  ·  Founder &amp; CEO</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tabs>
        <w:tab w:val="right" w:pos="9026"/>
      </w:tabs>
    </w:pPr>
    <w:r>
      <w:rPr>
        <w:rFonts w:ascii="Arial" w:cs="Arial" w:eastAsia="Arial" w:hAnsi="Arial"/>
        <w:b/>
        <w:bCs/>
        <w:color w:val="2E5090"/>
        <w:sz w:val="18"/>
        <w:szCs w:val="18"/>
      </w:rPr>
      <w:t xml:space="preserve">PHARMACONNECT  ·  Master Action Plan</w:t>
    </w:r>
    <w:r>
      <w:rPr>
        <w:rFonts w:ascii="Arial" w:cs="Arial" w:eastAsia="Arial" w:hAnsi="Arial"/>
        <w:color w:val="999999"/>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3864"/>
      <w:sz w:val="32"/>
      <w:szCs w:val="32"/>
    </w:rPr>
  </w:style>
  <w:style w:type="paragraph" w:styleId="Heading2">
    <w:name w:val="Heading 2"/>
    <w:basedOn w:val="Normal"/>
    <w:next w:val="Normal"/>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2026-04-21T08:43:53.913Z</dcterms:created>
  <dcterms:modified xsi:type="dcterms:W3CDTF">2026-04-21T08:43:53.913Z</dcterms:modified>
</cp:coreProperties>
</file>

<file path=docProps/custom.xml><?xml version="1.0" encoding="utf-8"?>
<Properties xmlns="http://schemas.openxmlformats.org/officeDocument/2006/custom-properties" xmlns:vt="http://schemas.openxmlformats.org/officeDocument/2006/docPropsVTypes"/>
</file>