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5B3" w:rsidRPr="000F286D" w:rsidRDefault="000F286D">
      <w:pPr>
        <w:rPr>
          <w:rFonts w:eastAsiaTheme="minorEastAsia"/>
          <w:lang w:val="en-US"/>
        </w:rPr>
      </w:pPr>
      <w:r w:rsidRPr="000F286D">
        <w:rPr>
          <w:rFonts w:eastAsiaTheme="minorEastAsia"/>
          <w:lang w:val="en-US"/>
        </w:rPr>
        <w:t xml:space="preserve">In the paper the equations </w:t>
      </w:r>
      <w:r w:rsidR="00183B6B">
        <w:rPr>
          <w:rFonts w:eastAsiaTheme="minorEastAsia"/>
          <w:lang w:val="en-US"/>
        </w:rPr>
        <w:t xml:space="preserve">mentioned </w:t>
      </w:r>
      <w:r w:rsidRPr="000F286D">
        <w:rPr>
          <w:rFonts w:eastAsiaTheme="minorEastAsia"/>
          <w:lang w:val="en-US"/>
        </w:rPr>
        <w:t>are</w:t>
      </w:r>
      <w:r w:rsidR="00A425B3" w:rsidRPr="000F286D">
        <w:rPr>
          <w:rFonts w:eastAsiaTheme="minorEastAsia"/>
          <w:lang w:val="en-US"/>
        </w:rPr>
        <w:t>:</w:t>
      </w:r>
    </w:p>
    <w:p w:rsidR="00D702C5" w:rsidRPr="00183B6B" w:rsidRDefault="005F7C68">
      <w:pPr>
        <w:rPr>
          <w:rFonts w:eastAsiaTheme="minorEastAsia"/>
          <w:lang w:val="en-US"/>
        </w:rPr>
      </w:pPr>
      <m:oMath>
        <m:sSub>
          <m:sSubPr>
            <m:ctrlPr>
              <w:rPr>
                <w:rFonts w:ascii="Cambria Math" w:hAnsi="Cambria Math"/>
                <w:i/>
              </w:rPr>
            </m:ctrlPr>
          </m:sSubPr>
          <m:e>
            <m:r>
              <w:rPr>
                <w:rFonts w:ascii="Cambria Math" w:hAnsi="Cambria Math"/>
              </w:rPr>
              <m:t>η</m:t>
            </m:r>
          </m:e>
          <m:sub>
            <m:r>
              <w:rPr>
                <w:rFonts w:ascii="Cambria Math" w:hAnsi="Cambria Math"/>
              </w:rPr>
              <m:t>global</m:t>
            </m:r>
          </m:sub>
        </m:sSub>
        <m:r>
          <w:rPr>
            <w:rFonts w:ascii="Cambria Math" w:hAnsi="Cambria Math"/>
            <w:lang w:val="en-US"/>
          </w:rPr>
          <m:t>=</m:t>
        </m:r>
        <m:sSub>
          <m:sSubPr>
            <m:ctrlPr>
              <w:rPr>
                <w:rFonts w:ascii="Cambria Math" w:hAnsi="Cambria Math"/>
                <w:i/>
              </w:rPr>
            </m:ctrlPr>
          </m:sSubPr>
          <m:e>
            <m:r>
              <w:rPr>
                <w:rFonts w:ascii="Cambria Math" w:hAnsi="Cambria Math"/>
              </w:rPr>
              <m:t>η</m:t>
            </m:r>
          </m:e>
          <m:sub>
            <m:r>
              <w:rPr>
                <w:rFonts w:ascii="Cambria Math" w:hAnsi="Cambria Math"/>
              </w:rPr>
              <m:t>opt</m:t>
            </m:r>
            <m:r>
              <w:rPr>
                <w:rFonts w:ascii="Cambria Math" w:hAnsi="Cambria Math"/>
                <w:lang w:val="en-US"/>
              </w:rPr>
              <m:t>,0°</m:t>
            </m:r>
          </m:sub>
        </m:sSub>
        <m:r>
          <w:rPr>
            <w:rFonts w:ascii="Cambria Math" w:hAnsi="Cambria Math"/>
            <w:lang w:val="en-US"/>
          </w:rPr>
          <m:t>*</m:t>
        </m:r>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loss</m:t>
                </m:r>
              </m:sub>
            </m:sSub>
          </m:num>
          <m:den>
            <m:sSub>
              <m:sSubPr>
                <m:ctrlPr>
                  <w:rPr>
                    <w:rFonts w:ascii="Cambria Math" w:hAnsi="Cambria Math"/>
                    <w:i/>
                  </w:rPr>
                </m:ctrlPr>
              </m:sSubPr>
              <m:e>
                <m:r>
                  <w:rPr>
                    <w:rFonts w:ascii="Cambria Math" w:hAnsi="Cambria Math"/>
                  </w:rPr>
                  <m:t>A</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b</m:t>
                </m:r>
              </m:sub>
            </m:sSub>
          </m:den>
        </m:f>
      </m:oMath>
      <w:r w:rsidR="00A425B3" w:rsidRPr="00183B6B">
        <w:rPr>
          <w:rFonts w:eastAsiaTheme="minorEastAsia"/>
          <w:lang w:val="en-US"/>
        </w:rPr>
        <w:tab/>
      </w:r>
      <w:r w:rsidR="00A425B3" w:rsidRPr="00183B6B">
        <w:rPr>
          <w:rFonts w:eastAsiaTheme="minorEastAsia"/>
          <w:lang w:val="en-US"/>
        </w:rPr>
        <w:tab/>
        <w:t>(1)</w:t>
      </w:r>
    </w:p>
    <w:p w:rsidR="00A425B3" w:rsidRPr="00183B6B" w:rsidRDefault="005F7C68">
      <w:pPr>
        <w:rPr>
          <w:rFonts w:eastAsiaTheme="minorEastAsia"/>
          <w:lang w:val="en-US"/>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loss</m:t>
            </m:r>
          </m:sub>
        </m:sSub>
        <m:r>
          <w:rPr>
            <w:rFonts w:ascii="Cambria Math" w:hAnsi="Cambria Math"/>
            <w:lang w:val="en-US"/>
          </w:rPr>
          <m:t>=</m:t>
        </m:r>
        <m:sSub>
          <m:sSubPr>
            <m:ctrlPr>
              <w:rPr>
                <w:rFonts w:ascii="Cambria Math" w:hAnsi="Cambria Math"/>
              </w:rPr>
            </m:ctrlPr>
          </m:sSubPr>
          <m:e>
            <m:r>
              <w:rPr>
                <w:rFonts w:ascii="Cambria Math" w:hAnsi="Cambria Math"/>
              </w:rPr>
              <m:t>a</m:t>
            </m:r>
          </m:e>
          <m:sub>
            <m:r>
              <w:rPr>
                <w:rFonts w:ascii="Cambria Math" w:hAnsi="Cambria Math"/>
              </w:rPr>
              <m:t>Q</m:t>
            </m:r>
          </m:sub>
        </m:sSub>
        <m:r>
          <w:rPr>
            <w:rFonts w:ascii="Cambria Math" w:hAnsi="Cambria Math"/>
            <w:lang w:val="en-US"/>
          </w:rPr>
          <m:t>∙∆</m:t>
        </m:r>
        <m:r>
          <w:rPr>
            <w:rFonts w:ascii="Cambria Math" w:hAnsi="Cambria Math"/>
          </w:rPr>
          <m:t>T</m:t>
        </m:r>
        <m:r>
          <w:rPr>
            <w:rFonts w:ascii="Cambria Math" w:hAnsi="Cambria Math"/>
            <w:lang w:val="en-US"/>
          </w:rPr>
          <m:t>+</m:t>
        </m:r>
        <m:sSub>
          <m:sSubPr>
            <m:ctrlPr>
              <w:rPr>
                <w:rFonts w:ascii="Cambria Math" w:hAnsi="Cambria Math"/>
              </w:rPr>
            </m:ctrlPr>
          </m:sSubPr>
          <m:e>
            <m:r>
              <w:rPr>
                <w:rFonts w:ascii="Cambria Math" w:hAnsi="Cambria Math"/>
              </w:rPr>
              <m:t>b</m:t>
            </m:r>
          </m:e>
          <m:sub>
            <m:r>
              <w:rPr>
                <w:rFonts w:ascii="Cambria Math" w:hAnsi="Cambria Math"/>
              </w:rPr>
              <m:t>Q</m:t>
            </m:r>
          </m:sub>
        </m:sSub>
        <m:r>
          <w:rPr>
            <w:rFonts w:ascii="Cambria Math" w:hAnsi="Cambria Math"/>
            <w:lang w:val="en-US"/>
          </w:rPr>
          <m:t>∙</m:t>
        </m:r>
        <m:sSup>
          <m:sSupPr>
            <m:ctrlPr>
              <w:rPr>
                <w:rFonts w:ascii="Cambria Math" w:hAnsi="Cambria Math"/>
              </w:rPr>
            </m:ctrlPr>
          </m:sSupPr>
          <m:e>
            <m:r>
              <w:rPr>
                <w:rFonts w:ascii="Cambria Math" w:hAnsi="Cambria Math"/>
                <w:lang w:val="en-US"/>
              </w:rPr>
              <m:t>∆</m:t>
            </m:r>
            <m:r>
              <w:rPr>
                <w:rFonts w:ascii="Cambria Math" w:hAnsi="Cambria Math"/>
              </w:rPr>
              <m:t>T</m:t>
            </m:r>
          </m:e>
          <m:sup>
            <m:r>
              <w:rPr>
                <w:rFonts w:ascii="Cambria Math" w:hAnsi="Cambria Math"/>
                <w:lang w:val="en-US"/>
              </w:rPr>
              <m:t>4</m:t>
            </m:r>
          </m:sup>
        </m:sSup>
      </m:oMath>
      <w:r w:rsidR="00A425B3" w:rsidRPr="00183B6B">
        <w:rPr>
          <w:rFonts w:eastAsiaTheme="minorEastAsia"/>
          <w:lang w:val="en-US"/>
        </w:rPr>
        <w:tab/>
      </w:r>
      <w:r w:rsidR="00A425B3" w:rsidRPr="00183B6B">
        <w:rPr>
          <w:rFonts w:eastAsiaTheme="minorEastAsia"/>
          <w:lang w:val="en-US"/>
        </w:rPr>
        <w:tab/>
      </w:r>
      <w:r w:rsidR="00A425B3" w:rsidRPr="00183B6B">
        <w:rPr>
          <w:rFonts w:eastAsiaTheme="minorEastAsia"/>
          <w:lang w:val="en-US"/>
        </w:rPr>
        <w:tab/>
        <w:t>(2)</w:t>
      </w:r>
    </w:p>
    <w:p w:rsidR="00A425B3" w:rsidRPr="00183B6B" w:rsidRDefault="00A425B3">
      <w:pPr>
        <w:rPr>
          <w:rFonts w:eastAsiaTheme="minorEastAsia"/>
          <w:lang w:val="en-US"/>
        </w:rPr>
      </w:pPr>
      <m:oMath>
        <m:r>
          <w:rPr>
            <w:rFonts w:ascii="Cambria Math" w:hAnsi="Cambria Math"/>
          </w:rPr>
          <m:t>K</m:t>
        </m:r>
        <m:d>
          <m:dPr>
            <m:ctrlPr>
              <w:rPr>
                <w:rFonts w:ascii="Cambria Math" w:hAnsi="Cambria Math"/>
              </w:rPr>
            </m:ctrlPr>
          </m:dPr>
          <m:e>
            <m:r>
              <w:rPr>
                <w:rFonts w:ascii="Cambria Math" w:hAnsi="Cambria Math"/>
              </w:rPr>
              <m:t>θ</m:t>
            </m:r>
          </m:e>
        </m:d>
        <m:r>
          <w:rPr>
            <w:rFonts w:ascii="Cambria Math" w:hAnsi="Cambria Math"/>
            <w:lang w:val="en-US"/>
          </w:rPr>
          <m:t>=1-</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lang w:val="en-US"/>
              </w:rPr>
              <m:t>·</m:t>
            </m:r>
            <m:r>
              <w:rPr>
                <w:rFonts w:ascii="Cambria Math" w:hAnsi="Cambria Math"/>
              </w:rPr>
              <m:t>θ</m:t>
            </m:r>
            <m:r>
              <w:rPr>
                <w:rFonts w:ascii="Cambria Math" w:hAnsi="Cambria Math"/>
                <w:lang w:val="en-US"/>
              </w:rPr>
              <m:t>+</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lang w:val="en-US"/>
              </w:rPr>
              <m:t>·</m:t>
            </m:r>
            <m:sSup>
              <m:sSupPr>
                <m:ctrlPr>
                  <w:rPr>
                    <w:rFonts w:ascii="Cambria Math" w:hAnsi="Cambria Math"/>
                  </w:rPr>
                </m:ctrlPr>
              </m:sSupPr>
              <m:e>
                <m:r>
                  <w:rPr>
                    <w:rFonts w:ascii="Cambria Math" w:hAnsi="Cambria Math"/>
                  </w:rPr>
                  <m:t>θ</m:t>
                </m:r>
              </m:e>
              <m:sup>
                <m:r>
                  <w:rPr>
                    <w:rFonts w:ascii="Cambria Math" w:hAnsi="Cambria Math"/>
                    <w:lang w:val="en-US"/>
                  </w:rPr>
                  <m:t>2</m:t>
                </m:r>
              </m:sup>
            </m:sSup>
          </m:num>
          <m:den>
            <m:r>
              <w:rPr>
                <w:rFonts w:ascii="Cambria Math" w:hAnsi="Cambria Math"/>
              </w:rPr>
              <m:t>cosθ</m:t>
            </m:r>
          </m:den>
        </m:f>
      </m:oMath>
      <w:r w:rsidRPr="00183B6B">
        <w:rPr>
          <w:rFonts w:eastAsiaTheme="minorEastAsia"/>
          <w:lang w:val="en-US"/>
        </w:rPr>
        <w:tab/>
      </w:r>
      <w:r w:rsidRPr="00183B6B">
        <w:rPr>
          <w:rFonts w:eastAsiaTheme="minorEastAsia"/>
          <w:lang w:val="en-US"/>
        </w:rPr>
        <w:tab/>
      </w:r>
      <w:r w:rsidRPr="00183B6B">
        <w:rPr>
          <w:rFonts w:eastAsiaTheme="minorEastAsia"/>
          <w:lang w:val="en-US"/>
        </w:rPr>
        <w:tab/>
      </w:r>
      <w:r w:rsidRPr="00183B6B">
        <w:rPr>
          <w:rFonts w:eastAsiaTheme="minorEastAsia"/>
          <w:lang w:val="en-US"/>
        </w:rPr>
        <w:tab/>
        <w:t>(3)</w:t>
      </w:r>
    </w:p>
    <w:p w:rsidR="00A425B3" w:rsidRPr="00183B6B" w:rsidRDefault="00A425B3">
      <w:pPr>
        <w:rPr>
          <w:rFonts w:eastAsiaTheme="minorEastAsia"/>
          <w:lang w:val="en-US"/>
        </w:rPr>
      </w:pPr>
    </w:p>
    <w:p w:rsidR="00A425B3" w:rsidRPr="00183B6B" w:rsidRDefault="000F286D" w:rsidP="00183B6B">
      <w:pPr>
        <w:rPr>
          <w:b/>
          <w:lang w:val="en-US"/>
        </w:rPr>
      </w:pPr>
      <w:r>
        <w:rPr>
          <w:rFonts w:eastAsiaTheme="minorEastAsia"/>
          <w:lang w:val="en-US"/>
        </w:rPr>
        <w:t>The sign of the coefficients</w:t>
      </w:r>
      <w:r w:rsidR="00183B6B">
        <w:rPr>
          <w:rFonts w:eastAsiaTheme="minorEastAsia"/>
          <w:lang w:val="en-US"/>
        </w:rPr>
        <w:t xml:space="preserve"> shown in Table 3</w:t>
      </w:r>
      <w:r>
        <w:rPr>
          <w:rFonts w:eastAsiaTheme="minorEastAsia"/>
          <w:lang w:val="en-US"/>
        </w:rPr>
        <w:t xml:space="preserve"> was incorrect, according to eq</w:t>
      </w:r>
      <w:proofErr w:type="gramStart"/>
      <w:r>
        <w:rPr>
          <w:rFonts w:eastAsiaTheme="minorEastAsia"/>
          <w:lang w:val="en-US"/>
        </w:rPr>
        <w:t>.(</w:t>
      </w:r>
      <w:proofErr w:type="gramEnd"/>
      <w:r>
        <w:rPr>
          <w:rFonts w:eastAsiaTheme="minorEastAsia"/>
          <w:lang w:val="en-US"/>
        </w:rPr>
        <w:t xml:space="preserve">1) and (2). </w:t>
      </w:r>
      <w:r w:rsidR="00183B6B">
        <w:rPr>
          <w:rFonts w:eastAsiaTheme="minorEastAsia"/>
          <w:lang w:val="en-US"/>
        </w:rPr>
        <w:t xml:space="preserve">In addition, the </w:t>
      </w:r>
      <w:proofErr w:type="gramStart"/>
      <w:r w:rsidR="00183B6B">
        <w:rPr>
          <w:rFonts w:eastAsiaTheme="minorEastAsia"/>
          <w:lang w:val="en-US"/>
        </w:rPr>
        <w:t>parameters  must</w:t>
      </w:r>
      <w:proofErr w:type="gramEnd"/>
      <w:r w:rsidR="00183B6B">
        <w:rPr>
          <w:rFonts w:eastAsiaTheme="minorEastAsia"/>
          <w:lang w:val="en-US"/>
        </w:rPr>
        <w:t xml:space="preserve"> be multiplied by the collector/receiver tube length to obtain the values of </w:t>
      </w:r>
      <w:proofErr w:type="spellStart"/>
      <w:r w:rsidR="00183B6B" w:rsidRPr="00183B6B">
        <w:rPr>
          <w:rFonts w:eastAsiaTheme="minorEastAsia"/>
          <w:i/>
          <w:lang w:val="en-US"/>
        </w:rPr>
        <w:t>a</w:t>
      </w:r>
      <w:r w:rsidR="00183B6B" w:rsidRPr="00183B6B">
        <w:rPr>
          <w:rFonts w:eastAsiaTheme="minorEastAsia"/>
          <w:i/>
          <w:vertAlign w:val="subscript"/>
          <w:lang w:val="en-US"/>
        </w:rPr>
        <w:t>Q</w:t>
      </w:r>
      <w:proofErr w:type="spellEnd"/>
      <w:r w:rsidR="00183B6B">
        <w:rPr>
          <w:rFonts w:eastAsiaTheme="minorEastAsia"/>
          <w:lang w:val="en-US"/>
        </w:rPr>
        <w:t xml:space="preserve"> and </w:t>
      </w:r>
      <w:proofErr w:type="spellStart"/>
      <w:r w:rsidR="00183B6B" w:rsidRPr="00183B6B">
        <w:rPr>
          <w:rFonts w:eastAsiaTheme="minorEastAsia"/>
          <w:i/>
          <w:lang w:val="en-US"/>
        </w:rPr>
        <w:t>b</w:t>
      </w:r>
      <w:r w:rsidR="00183B6B" w:rsidRPr="00183B6B">
        <w:rPr>
          <w:rFonts w:eastAsiaTheme="minorEastAsia"/>
          <w:i/>
          <w:vertAlign w:val="subscript"/>
          <w:lang w:val="en-US"/>
        </w:rPr>
        <w:t>Q</w:t>
      </w:r>
      <w:proofErr w:type="spellEnd"/>
      <w:r w:rsidR="00183B6B">
        <w:rPr>
          <w:rFonts w:eastAsiaTheme="minorEastAsia"/>
          <w:lang w:val="en-US"/>
        </w:rPr>
        <w:t xml:space="preserve"> which appear in eq. 2 (</w:t>
      </w:r>
      <w:proofErr w:type="spellStart"/>
      <w:r w:rsidR="00183B6B" w:rsidRPr="00183B6B">
        <w:rPr>
          <w:rFonts w:eastAsiaTheme="minorEastAsia"/>
          <w:i/>
          <w:lang w:val="en-US"/>
        </w:rPr>
        <w:t>Q</w:t>
      </w:r>
      <w:r w:rsidR="00183B6B" w:rsidRPr="00183B6B">
        <w:rPr>
          <w:rFonts w:eastAsiaTheme="minorEastAsia"/>
          <w:i/>
          <w:vertAlign w:val="subscript"/>
          <w:lang w:val="en-US"/>
        </w:rPr>
        <w:t>loss</w:t>
      </w:r>
      <w:proofErr w:type="spellEnd"/>
      <w:r w:rsidR="00183B6B" w:rsidRPr="00183B6B">
        <w:rPr>
          <w:rFonts w:eastAsiaTheme="minorEastAsia"/>
          <w:vertAlign w:val="subscript"/>
          <w:lang w:val="en-US"/>
        </w:rPr>
        <w:t xml:space="preserve"> </w:t>
      </w:r>
      <w:r w:rsidR="00183B6B">
        <w:rPr>
          <w:rFonts w:eastAsiaTheme="minorEastAsia"/>
          <w:lang w:val="en-US"/>
        </w:rPr>
        <w:t>is in W)</w:t>
      </w:r>
      <w:r w:rsidR="00183B6B" w:rsidRPr="000F286D">
        <w:rPr>
          <w:rFonts w:eastAsiaTheme="minorEastAsia"/>
          <w:lang w:val="en-US"/>
        </w:rPr>
        <w:t>.</w:t>
      </w:r>
    </w:p>
    <w:tbl>
      <w:tblPr>
        <w:tblW w:w="5000" w:type="pct"/>
        <w:jc w:val="center"/>
        <w:tblBorders>
          <w:bottom w:val="single" w:sz="4" w:space="0" w:color="auto"/>
        </w:tblBorders>
        <w:tblLook w:val="0000" w:firstRow="0" w:lastRow="0" w:firstColumn="0" w:lastColumn="0" w:noHBand="0" w:noVBand="0"/>
      </w:tblPr>
      <w:tblGrid>
        <w:gridCol w:w="2907"/>
        <w:gridCol w:w="2907"/>
        <w:gridCol w:w="2906"/>
      </w:tblGrid>
      <w:tr w:rsidR="00A425B3" w:rsidRPr="005F7C68" w:rsidTr="001A2435">
        <w:trPr>
          <w:cantSplit/>
          <w:trHeight w:val="281"/>
          <w:jc w:val="center"/>
        </w:trPr>
        <w:tc>
          <w:tcPr>
            <w:tcW w:w="5000" w:type="pct"/>
            <w:gridSpan w:val="3"/>
            <w:tcBorders>
              <w:bottom w:val="nil"/>
            </w:tcBorders>
          </w:tcPr>
          <w:p w:rsidR="00A425B3" w:rsidRPr="000F286D" w:rsidRDefault="00A425B3" w:rsidP="00183B6B">
            <w:pPr>
              <w:pStyle w:val="TableCaption"/>
            </w:pPr>
            <w:r w:rsidRPr="000F286D">
              <w:rPr>
                <w:b/>
              </w:rPr>
              <w:t xml:space="preserve">TABLE 3. </w:t>
            </w:r>
            <w:r w:rsidRPr="000F286D">
              <w:t xml:space="preserve">Heat losses </w:t>
            </w:r>
            <w:r w:rsidR="00183B6B">
              <w:t>parameters</w:t>
            </w:r>
            <w:r w:rsidRPr="000F286D">
              <w:t xml:space="preserve"> from experiments with the collector no tracking the sun. </w:t>
            </w:r>
          </w:p>
        </w:tc>
      </w:tr>
      <w:tr w:rsidR="00A425B3" w:rsidRPr="00183B6B" w:rsidTr="001A2435">
        <w:trPr>
          <w:cantSplit/>
          <w:trHeight w:val="272"/>
          <w:jc w:val="center"/>
        </w:trPr>
        <w:tc>
          <w:tcPr>
            <w:tcW w:w="1667" w:type="pct"/>
            <w:tcBorders>
              <w:top w:val="single" w:sz="4" w:space="0" w:color="auto"/>
              <w:bottom w:val="single" w:sz="4" w:space="0" w:color="auto"/>
            </w:tcBorders>
            <w:vAlign w:val="center"/>
          </w:tcPr>
          <w:p w:rsidR="00A425B3" w:rsidRPr="00183B6B" w:rsidRDefault="00A425B3" w:rsidP="001A2435">
            <w:pPr>
              <w:jc w:val="center"/>
              <w:rPr>
                <w:b/>
                <w:sz w:val="18"/>
                <w:szCs w:val="18"/>
                <w:lang w:val="en-US"/>
              </w:rPr>
            </w:pPr>
            <w:r w:rsidRPr="00183B6B">
              <w:rPr>
                <w:b/>
                <w:sz w:val="18"/>
                <w:szCs w:val="18"/>
                <w:lang w:val="en-US"/>
              </w:rPr>
              <w:t>Parameter</w:t>
            </w:r>
          </w:p>
        </w:tc>
        <w:tc>
          <w:tcPr>
            <w:tcW w:w="1667" w:type="pct"/>
            <w:tcBorders>
              <w:top w:val="single" w:sz="4" w:space="0" w:color="auto"/>
              <w:bottom w:val="single" w:sz="4" w:space="0" w:color="auto"/>
            </w:tcBorders>
            <w:vAlign w:val="center"/>
          </w:tcPr>
          <w:p w:rsidR="00A425B3" w:rsidRPr="00183B6B" w:rsidRDefault="00A425B3" w:rsidP="001A2435">
            <w:pPr>
              <w:jc w:val="center"/>
              <w:rPr>
                <w:b/>
                <w:sz w:val="18"/>
                <w:szCs w:val="18"/>
                <w:lang w:val="en-US"/>
              </w:rPr>
            </w:pPr>
            <w:r w:rsidRPr="00183B6B">
              <w:rPr>
                <w:b/>
                <w:sz w:val="18"/>
                <w:szCs w:val="18"/>
                <w:lang w:val="en-US"/>
              </w:rPr>
              <w:t>Value</w:t>
            </w:r>
          </w:p>
        </w:tc>
        <w:tc>
          <w:tcPr>
            <w:tcW w:w="1666" w:type="pct"/>
            <w:tcBorders>
              <w:top w:val="single" w:sz="4" w:space="0" w:color="auto"/>
              <w:bottom w:val="single" w:sz="4" w:space="0" w:color="auto"/>
            </w:tcBorders>
            <w:vAlign w:val="center"/>
          </w:tcPr>
          <w:p w:rsidR="00A425B3" w:rsidRPr="00183B6B" w:rsidRDefault="00A425B3" w:rsidP="001A2435">
            <w:pPr>
              <w:jc w:val="center"/>
              <w:rPr>
                <w:b/>
                <w:sz w:val="18"/>
                <w:szCs w:val="18"/>
                <w:lang w:val="en-US"/>
              </w:rPr>
            </w:pPr>
            <w:r w:rsidRPr="00183B6B">
              <w:rPr>
                <w:b/>
                <w:sz w:val="18"/>
                <w:szCs w:val="18"/>
                <w:lang w:val="en-US"/>
              </w:rPr>
              <w:t>Unit</w:t>
            </w:r>
          </w:p>
        </w:tc>
      </w:tr>
      <w:tr w:rsidR="00A425B3" w:rsidRPr="000F286D" w:rsidTr="001A2435">
        <w:trPr>
          <w:cantSplit/>
          <w:jc w:val="center"/>
        </w:trPr>
        <w:tc>
          <w:tcPr>
            <w:tcW w:w="1667" w:type="pct"/>
          </w:tcPr>
          <w:p w:rsidR="00A425B3" w:rsidRPr="000F286D" w:rsidRDefault="00A425B3" w:rsidP="00183B6B">
            <w:pPr>
              <w:pStyle w:val="Paragraph"/>
            </w:pPr>
            <w:r w:rsidRPr="000F286D">
              <w:t xml:space="preserve">Thermal losses coefficient </w:t>
            </w:r>
            <w:proofErr w:type="spellStart"/>
            <w:r w:rsidR="00183B6B">
              <w:rPr>
                <w:rFonts w:ascii="Calibri" w:hAnsi="Calibri"/>
                <w:i/>
              </w:rPr>
              <w:t>ã</w:t>
            </w:r>
            <w:r w:rsidRPr="000F286D">
              <w:rPr>
                <w:i/>
                <w:vertAlign w:val="subscript"/>
              </w:rPr>
              <w:t>Q</w:t>
            </w:r>
            <w:proofErr w:type="spellEnd"/>
          </w:p>
        </w:tc>
        <w:tc>
          <w:tcPr>
            <w:tcW w:w="1667" w:type="pct"/>
            <w:vAlign w:val="bottom"/>
          </w:tcPr>
          <w:p w:rsidR="00A425B3" w:rsidRPr="000F286D" w:rsidRDefault="00A425B3" w:rsidP="001A2435">
            <w:pPr>
              <w:pStyle w:val="Paragraph"/>
            </w:pPr>
            <w:r w:rsidRPr="000F286D">
              <w:t>0.163</w:t>
            </w:r>
          </w:p>
        </w:tc>
        <w:tc>
          <w:tcPr>
            <w:tcW w:w="1666" w:type="pct"/>
          </w:tcPr>
          <w:p w:rsidR="00A425B3" w:rsidRPr="000F286D" w:rsidRDefault="00A425B3" w:rsidP="001A2435">
            <w:pPr>
              <w:pStyle w:val="Paragraph"/>
            </w:pPr>
            <w:r w:rsidRPr="000F286D">
              <w:t>W.m</w:t>
            </w:r>
            <w:r w:rsidRPr="000F286D">
              <w:rPr>
                <w:vertAlign w:val="superscript"/>
              </w:rPr>
              <w:t>-1</w:t>
            </w:r>
            <w:r w:rsidRPr="000F286D">
              <w:t>K</w:t>
            </w:r>
            <w:r w:rsidRPr="000F286D">
              <w:rPr>
                <w:vertAlign w:val="superscript"/>
              </w:rPr>
              <w:t>-1</w:t>
            </w:r>
          </w:p>
        </w:tc>
      </w:tr>
      <w:tr w:rsidR="00A425B3" w:rsidRPr="00DE2A97" w:rsidTr="001A2435">
        <w:trPr>
          <w:cantSplit/>
          <w:jc w:val="center"/>
        </w:trPr>
        <w:tc>
          <w:tcPr>
            <w:tcW w:w="1667" w:type="pct"/>
          </w:tcPr>
          <w:p w:rsidR="00A425B3" w:rsidRPr="000F286D" w:rsidRDefault="00A425B3" w:rsidP="00183B6B">
            <w:pPr>
              <w:pStyle w:val="Paragraph"/>
            </w:pPr>
            <w:r w:rsidRPr="000F286D">
              <w:t xml:space="preserve">Thermal losses coefficient </w:t>
            </w:r>
            <w:r w:rsidR="00183B6B">
              <w:rPr>
                <w:i/>
              </w:rPr>
              <w:t>ᵬ</w:t>
            </w:r>
            <w:r w:rsidRPr="000F286D">
              <w:rPr>
                <w:i/>
                <w:vertAlign w:val="subscript"/>
              </w:rPr>
              <w:t>Q</w:t>
            </w:r>
          </w:p>
        </w:tc>
        <w:tc>
          <w:tcPr>
            <w:tcW w:w="1667" w:type="pct"/>
            <w:vAlign w:val="bottom"/>
          </w:tcPr>
          <w:p w:rsidR="00A425B3" w:rsidRPr="000F286D" w:rsidRDefault="00A425B3" w:rsidP="001A2435">
            <w:pPr>
              <w:pStyle w:val="Paragraph"/>
            </w:pPr>
            <w:r w:rsidRPr="000F286D">
              <w:t>1.20 ·10</w:t>
            </w:r>
            <w:r w:rsidRPr="000F286D">
              <w:rPr>
                <w:vertAlign w:val="superscript"/>
              </w:rPr>
              <w:t>-8</w:t>
            </w:r>
          </w:p>
        </w:tc>
        <w:tc>
          <w:tcPr>
            <w:tcW w:w="1666" w:type="pct"/>
          </w:tcPr>
          <w:p w:rsidR="00A425B3" w:rsidRPr="00DE2A97" w:rsidRDefault="00A425B3" w:rsidP="001A2435">
            <w:pPr>
              <w:pStyle w:val="Paragraph"/>
            </w:pPr>
            <w:r w:rsidRPr="000F286D">
              <w:t>W.m</w:t>
            </w:r>
            <w:r w:rsidRPr="000F286D">
              <w:rPr>
                <w:vertAlign w:val="superscript"/>
              </w:rPr>
              <w:t>-1</w:t>
            </w:r>
            <w:r w:rsidRPr="000F286D">
              <w:t>K</w:t>
            </w:r>
            <w:r w:rsidRPr="000F286D">
              <w:rPr>
                <w:vertAlign w:val="superscript"/>
              </w:rPr>
              <w:t>-4</w:t>
            </w:r>
          </w:p>
        </w:tc>
      </w:tr>
    </w:tbl>
    <w:p w:rsidR="00A425B3" w:rsidRDefault="00A425B3">
      <w:pPr>
        <w:rPr>
          <w:lang w:val="en-US"/>
        </w:rPr>
      </w:pPr>
    </w:p>
    <w:p w:rsidR="00A425B3" w:rsidRPr="000F286D" w:rsidRDefault="000F286D">
      <w:pPr>
        <w:rPr>
          <w:lang w:val="en-US"/>
        </w:rPr>
      </w:pPr>
      <w:r w:rsidRPr="000F286D">
        <w:rPr>
          <w:lang w:val="en-US"/>
        </w:rPr>
        <w:t xml:space="preserve">Regarding Table 5, I’ve </w:t>
      </w:r>
      <w:r w:rsidR="00183B6B">
        <w:rPr>
          <w:lang w:val="en-US"/>
        </w:rPr>
        <w:t xml:space="preserve">also confirmed </w:t>
      </w:r>
      <w:r w:rsidRPr="000F286D">
        <w:rPr>
          <w:lang w:val="en-US"/>
        </w:rPr>
        <w:t xml:space="preserve">that the signs are changed. </w:t>
      </w:r>
      <w:r>
        <w:rPr>
          <w:lang w:val="en-US"/>
        </w:rPr>
        <w:t xml:space="preserve">The first term is negative and second one is positive.  </w:t>
      </w:r>
      <w:r w:rsidR="00183B6B">
        <w:rPr>
          <w:lang w:val="en-US"/>
        </w:rPr>
        <w:t xml:space="preserve">Apart from this, in this Table the units are correct and you must multiplied by the collector aperture area (instead of the collector length) to obtain the values of </w:t>
      </w:r>
      <w:proofErr w:type="spellStart"/>
      <w:r w:rsidR="00183B6B" w:rsidRPr="00183B6B">
        <w:rPr>
          <w:rFonts w:eastAsiaTheme="minorEastAsia"/>
          <w:i/>
          <w:lang w:val="en-US"/>
        </w:rPr>
        <w:t>a</w:t>
      </w:r>
      <w:r w:rsidR="00183B6B" w:rsidRPr="00183B6B">
        <w:rPr>
          <w:rFonts w:eastAsiaTheme="minorEastAsia"/>
          <w:i/>
          <w:vertAlign w:val="subscript"/>
          <w:lang w:val="en-US"/>
        </w:rPr>
        <w:t>Q</w:t>
      </w:r>
      <w:proofErr w:type="spellEnd"/>
      <w:r w:rsidR="00183B6B">
        <w:rPr>
          <w:rFonts w:eastAsiaTheme="minorEastAsia"/>
          <w:lang w:val="en-US"/>
        </w:rPr>
        <w:t xml:space="preserve"> and </w:t>
      </w:r>
      <w:proofErr w:type="spellStart"/>
      <w:r w:rsidR="00183B6B" w:rsidRPr="00183B6B">
        <w:rPr>
          <w:rFonts w:eastAsiaTheme="minorEastAsia"/>
          <w:i/>
          <w:lang w:val="en-US"/>
        </w:rPr>
        <w:t>b</w:t>
      </w:r>
      <w:r w:rsidR="00183B6B" w:rsidRPr="00183B6B">
        <w:rPr>
          <w:rFonts w:eastAsiaTheme="minorEastAsia"/>
          <w:i/>
          <w:vertAlign w:val="subscript"/>
          <w:lang w:val="en-US"/>
        </w:rPr>
        <w:t>Q</w:t>
      </w:r>
      <w:proofErr w:type="spellEnd"/>
      <w:r w:rsidR="00183B6B">
        <w:rPr>
          <w:rFonts w:eastAsiaTheme="minorEastAsia"/>
          <w:lang w:val="en-US"/>
        </w:rPr>
        <w:t xml:space="preserve"> which appear in eq. 2 (</w:t>
      </w:r>
      <w:proofErr w:type="spellStart"/>
      <w:r w:rsidR="00183B6B" w:rsidRPr="00183B6B">
        <w:rPr>
          <w:rFonts w:eastAsiaTheme="minorEastAsia"/>
          <w:i/>
          <w:lang w:val="en-US"/>
        </w:rPr>
        <w:t>Q</w:t>
      </w:r>
      <w:r w:rsidR="00183B6B" w:rsidRPr="00183B6B">
        <w:rPr>
          <w:rFonts w:eastAsiaTheme="minorEastAsia"/>
          <w:i/>
          <w:vertAlign w:val="subscript"/>
          <w:lang w:val="en-US"/>
        </w:rPr>
        <w:t>loss</w:t>
      </w:r>
      <w:proofErr w:type="spellEnd"/>
      <w:r w:rsidR="00183B6B" w:rsidRPr="00183B6B">
        <w:rPr>
          <w:rFonts w:eastAsiaTheme="minorEastAsia"/>
          <w:vertAlign w:val="subscript"/>
          <w:lang w:val="en-US"/>
        </w:rPr>
        <w:t xml:space="preserve"> </w:t>
      </w:r>
      <w:r w:rsidR="00183B6B">
        <w:rPr>
          <w:rFonts w:eastAsiaTheme="minorEastAsia"/>
          <w:lang w:val="en-US"/>
        </w:rPr>
        <w:t>is in W)</w:t>
      </w:r>
      <w:r w:rsidR="00183B6B" w:rsidRPr="000F286D">
        <w:rPr>
          <w:rFonts w:eastAsiaTheme="minorEastAsia"/>
          <w:lang w:val="en-US"/>
        </w:rPr>
        <w:t>.</w:t>
      </w:r>
      <w:r w:rsidR="00183B6B">
        <w:rPr>
          <w:rFonts w:eastAsiaTheme="minorEastAsia"/>
          <w:lang w:val="en-US"/>
        </w:rPr>
        <w:t xml:space="preserve"> It could be possible that at low temperatures, the heat loss applying the coefficients of Table 5 are negative. I think this is a comment you mentioned during the morning. The heat loss uncertainty is high in any case, so you can calibrate now the model with the heat loss measured with the collector focus and defocus. Although if you are using a detailed model of the receiver tube, I think it will be easier if you consider a reference value</w:t>
      </w:r>
      <w:r w:rsidR="005F7C68">
        <w:rPr>
          <w:rFonts w:eastAsiaTheme="minorEastAsia"/>
          <w:lang w:val="en-US"/>
        </w:rPr>
        <w:t xml:space="preserve"> of emissivity and then tune it</w:t>
      </w:r>
      <w:bookmarkStart w:id="0" w:name="_GoBack"/>
      <w:bookmarkEnd w:id="0"/>
      <w:r w:rsidR="00183B6B">
        <w:rPr>
          <w:rFonts w:eastAsiaTheme="minorEastAsia"/>
          <w:lang w:val="en-US"/>
        </w:rPr>
        <w:t xml:space="preserve">. The heat loss by convection can be also relevant considering that at least one or two </w:t>
      </w:r>
      <w:r w:rsidR="005F7C68">
        <w:rPr>
          <w:rFonts w:eastAsiaTheme="minorEastAsia"/>
          <w:lang w:val="en-US"/>
        </w:rPr>
        <w:t xml:space="preserve">receiver tubes in that collector </w:t>
      </w:r>
      <w:r w:rsidR="00183B6B">
        <w:rPr>
          <w:rFonts w:eastAsiaTheme="minorEastAsia"/>
          <w:lang w:val="en-US"/>
        </w:rPr>
        <w:t xml:space="preserve">lost the vacuum. </w:t>
      </w:r>
    </w:p>
    <w:tbl>
      <w:tblPr>
        <w:tblW w:w="5000" w:type="pct"/>
        <w:jc w:val="center"/>
        <w:tblBorders>
          <w:bottom w:val="single" w:sz="4" w:space="0" w:color="auto"/>
        </w:tblBorders>
        <w:tblLook w:val="0000" w:firstRow="0" w:lastRow="0" w:firstColumn="0" w:lastColumn="0" w:noHBand="0" w:noVBand="0"/>
      </w:tblPr>
      <w:tblGrid>
        <w:gridCol w:w="2907"/>
        <w:gridCol w:w="2907"/>
        <w:gridCol w:w="2906"/>
      </w:tblGrid>
      <w:tr w:rsidR="00A425B3" w:rsidRPr="005F7C68" w:rsidTr="001A2435">
        <w:trPr>
          <w:cantSplit/>
          <w:trHeight w:val="281"/>
          <w:jc w:val="center"/>
        </w:trPr>
        <w:tc>
          <w:tcPr>
            <w:tcW w:w="5000" w:type="pct"/>
            <w:gridSpan w:val="3"/>
            <w:tcBorders>
              <w:bottom w:val="nil"/>
            </w:tcBorders>
          </w:tcPr>
          <w:p w:rsidR="00A425B3" w:rsidRPr="00075EA6" w:rsidRDefault="00A425B3" w:rsidP="001A2435">
            <w:pPr>
              <w:pStyle w:val="TableCaption"/>
            </w:pPr>
            <w:r w:rsidRPr="00075EA6">
              <w:rPr>
                <w:b/>
              </w:rPr>
              <w:t xml:space="preserve">TABLE </w:t>
            </w:r>
            <w:r>
              <w:rPr>
                <w:b/>
              </w:rPr>
              <w:t>5</w:t>
            </w:r>
            <w:r w:rsidRPr="00075EA6">
              <w:rPr>
                <w:b/>
              </w:rPr>
              <w:t xml:space="preserve">. </w:t>
            </w:r>
            <w:r>
              <w:t>Heat losses results from experiments with the collector tracking the sun.</w:t>
            </w:r>
          </w:p>
        </w:tc>
      </w:tr>
      <w:tr w:rsidR="00A425B3" w:rsidRPr="007076FE" w:rsidTr="001A2435">
        <w:trPr>
          <w:cantSplit/>
          <w:trHeight w:val="272"/>
          <w:jc w:val="center"/>
        </w:trPr>
        <w:tc>
          <w:tcPr>
            <w:tcW w:w="1667" w:type="pct"/>
            <w:tcBorders>
              <w:top w:val="single" w:sz="4" w:space="0" w:color="auto"/>
              <w:bottom w:val="single" w:sz="4" w:space="0" w:color="auto"/>
            </w:tcBorders>
            <w:vAlign w:val="center"/>
          </w:tcPr>
          <w:p w:rsidR="00A425B3" w:rsidRPr="007076FE" w:rsidRDefault="00A425B3" w:rsidP="001A2435">
            <w:pPr>
              <w:jc w:val="center"/>
              <w:rPr>
                <w:b/>
                <w:sz w:val="18"/>
                <w:szCs w:val="18"/>
              </w:rPr>
            </w:pPr>
            <w:proofErr w:type="spellStart"/>
            <w:r w:rsidRPr="007076FE">
              <w:rPr>
                <w:b/>
                <w:sz w:val="18"/>
                <w:szCs w:val="18"/>
              </w:rPr>
              <w:t>Parameter</w:t>
            </w:r>
            <w:proofErr w:type="spellEnd"/>
          </w:p>
        </w:tc>
        <w:tc>
          <w:tcPr>
            <w:tcW w:w="1667" w:type="pct"/>
            <w:tcBorders>
              <w:top w:val="single" w:sz="4" w:space="0" w:color="auto"/>
              <w:bottom w:val="single" w:sz="4" w:space="0" w:color="auto"/>
            </w:tcBorders>
            <w:vAlign w:val="center"/>
          </w:tcPr>
          <w:p w:rsidR="00A425B3" w:rsidRPr="007076FE" w:rsidRDefault="00A425B3" w:rsidP="001A2435">
            <w:pPr>
              <w:jc w:val="center"/>
              <w:rPr>
                <w:b/>
                <w:sz w:val="18"/>
                <w:szCs w:val="18"/>
              </w:rPr>
            </w:pPr>
            <w:proofErr w:type="spellStart"/>
            <w:r w:rsidRPr="007076FE">
              <w:rPr>
                <w:b/>
                <w:sz w:val="18"/>
                <w:szCs w:val="18"/>
              </w:rPr>
              <w:t>Value</w:t>
            </w:r>
            <w:proofErr w:type="spellEnd"/>
          </w:p>
        </w:tc>
        <w:tc>
          <w:tcPr>
            <w:tcW w:w="1666" w:type="pct"/>
            <w:tcBorders>
              <w:top w:val="single" w:sz="4" w:space="0" w:color="auto"/>
              <w:bottom w:val="single" w:sz="4" w:space="0" w:color="auto"/>
            </w:tcBorders>
            <w:vAlign w:val="center"/>
          </w:tcPr>
          <w:p w:rsidR="00A425B3" w:rsidRPr="007076FE" w:rsidRDefault="00A425B3" w:rsidP="001A2435">
            <w:pPr>
              <w:jc w:val="center"/>
              <w:rPr>
                <w:b/>
                <w:sz w:val="18"/>
                <w:szCs w:val="18"/>
              </w:rPr>
            </w:pPr>
            <w:proofErr w:type="spellStart"/>
            <w:r w:rsidRPr="007076FE">
              <w:rPr>
                <w:b/>
                <w:sz w:val="18"/>
                <w:szCs w:val="18"/>
              </w:rPr>
              <w:t>Unit</w:t>
            </w:r>
            <w:proofErr w:type="spellEnd"/>
          </w:p>
        </w:tc>
      </w:tr>
      <w:tr w:rsidR="00A425B3" w:rsidRPr="00DE2A97" w:rsidTr="001A2435">
        <w:trPr>
          <w:cantSplit/>
          <w:jc w:val="center"/>
        </w:trPr>
        <w:tc>
          <w:tcPr>
            <w:tcW w:w="1667" w:type="pct"/>
          </w:tcPr>
          <w:p w:rsidR="00A425B3" w:rsidRPr="00DE2A97" w:rsidRDefault="00A425B3" w:rsidP="00183B6B">
            <w:pPr>
              <w:pStyle w:val="Paragraph"/>
            </w:pPr>
            <w:r w:rsidRPr="00DE2A97">
              <w:t xml:space="preserve">Thermal losses coefficient </w:t>
            </w:r>
            <w:proofErr w:type="spellStart"/>
            <w:r w:rsidR="00183B6B">
              <w:rPr>
                <w:rFonts w:ascii="Calibri" w:hAnsi="Calibri"/>
                <w:i/>
              </w:rPr>
              <w:t>ã</w:t>
            </w:r>
            <w:r w:rsidRPr="00963005">
              <w:rPr>
                <w:i/>
                <w:vertAlign w:val="subscript"/>
              </w:rPr>
              <w:t>Q</w:t>
            </w:r>
            <w:proofErr w:type="spellEnd"/>
          </w:p>
        </w:tc>
        <w:tc>
          <w:tcPr>
            <w:tcW w:w="1667" w:type="pct"/>
            <w:vAlign w:val="bottom"/>
          </w:tcPr>
          <w:p w:rsidR="00A425B3" w:rsidRPr="00AF3C90" w:rsidRDefault="000F286D" w:rsidP="001A2435">
            <w:pPr>
              <w:pStyle w:val="Paragraph"/>
            </w:pPr>
            <w:r>
              <w:t>-</w:t>
            </w:r>
            <w:r w:rsidR="00A425B3">
              <w:t>0.037</w:t>
            </w:r>
          </w:p>
        </w:tc>
        <w:tc>
          <w:tcPr>
            <w:tcW w:w="1666" w:type="pct"/>
          </w:tcPr>
          <w:p w:rsidR="00A425B3" w:rsidRPr="000F286D" w:rsidRDefault="00A425B3" w:rsidP="001A2435">
            <w:pPr>
              <w:pStyle w:val="Paragraph"/>
            </w:pPr>
            <w:r w:rsidRPr="000F286D">
              <w:t>W.m</w:t>
            </w:r>
            <w:r w:rsidRPr="000F286D">
              <w:rPr>
                <w:vertAlign w:val="superscript"/>
              </w:rPr>
              <w:t>-2</w:t>
            </w:r>
            <w:r w:rsidRPr="000F286D">
              <w:t>K</w:t>
            </w:r>
            <w:r w:rsidRPr="000F286D">
              <w:rPr>
                <w:vertAlign w:val="superscript"/>
              </w:rPr>
              <w:t>-1</w:t>
            </w:r>
          </w:p>
        </w:tc>
      </w:tr>
      <w:tr w:rsidR="00A425B3" w:rsidRPr="00DE2A97" w:rsidTr="001A2435">
        <w:trPr>
          <w:cantSplit/>
          <w:jc w:val="center"/>
        </w:trPr>
        <w:tc>
          <w:tcPr>
            <w:tcW w:w="1667" w:type="pct"/>
          </w:tcPr>
          <w:p w:rsidR="00A425B3" w:rsidRPr="00DE2A97" w:rsidRDefault="00A425B3" w:rsidP="001A2435">
            <w:pPr>
              <w:pStyle w:val="Paragraph"/>
            </w:pPr>
            <w:r w:rsidRPr="00DE2A97">
              <w:t xml:space="preserve">Thermal losses coefficient </w:t>
            </w:r>
            <w:r w:rsidR="00183B6B">
              <w:rPr>
                <w:i/>
              </w:rPr>
              <w:t>ᵬ</w:t>
            </w:r>
            <w:r w:rsidRPr="00963005">
              <w:rPr>
                <w:i/>
                <w:vertAlign w:val="subscript"/>
              </w:rPr>
              <w:t>Q</w:t>
            </w:r>
          </w:p>
        </w:tc>
        <w:tc>
          <w:tcPr>
            <w:tcW w:w="1667" w:type="pct"/>
            <w:vAlign w:val="bottom"/>
          </w:tcPr>
          <w:p w:rsidR="00A425B3" w:rsidRPr="00AF3C90" w:rsidRDefault="00A425B3" w:rsidP="001A2435">
            <w:pPr>
              <w:pStyle w:val="Paragraph"/>
            </w:pPr>
            <w:r>
              <w:t>4.49 ·10</w:t>
            </w:r>
            <w:r w:rsidRPr="00BA3A6C">
              <w:rPr>
                <w:vertAlign w:val="superscript"/>
              </w:rPr>
              <w:t>-</w:t>
            </w:r>
            <w:r>
              <w:rPr>
                <w:vertAlign w:val="superscript"/>
              </w:rPr>
              <w:t>9</w:t>
            </w:r>
          </w:p>
        </w:tc>
        <w:tc>
          <w:tcPr>
            <w:tcW w:w="1666" w:type="pct"/>
          </w:tcPr>
          <w:p w:rsidR="00A425B3" w:rsidRPr="000F286D" w:rsidRDefault="00A425B3" w:rsidP="001A2435">
            <w:pPr>
              <w:pStyle w:val="Paragraph"/>
            </w:pPr>
            <w:r w:rsidRPr="000F286D">
              <w:t>W.m</w:t>
            </w:r>
            <w:r w:rsidRPr="000F286D">
              <w:rPr>
                <w:vertAlign w:val="superscript"/>
              </w:rPr>
              <w:t>-2</w:t>
            </w:r>
            <w:r w:rsidRPr="000F286D">
              <w:t>K</w:t>
            </w:r>
            <w:r w:rsidRPr="000F286D">
              <w:rPr>
                <w:vertAlign w:val="superscript"/>
              </w:rPr>
              <w:t>-4</w:t>
            </w:r>
          </w:p>
        </w:tc>
      </w:tr>
    </w:tbl>
    <w:p w:rsidR="00A425B3" w:rsidRDefault="00A425B3">
      <w:pPr>
        <w:rPr>
          <w:lang w:val="en-US"/>
        </w:rPr>
      </w:pPr>
    </w:p>
    <w:p w:rsidR="00A425B3" w:rsidRPr="000F286D" w:rsidRDefault="000F286D">
      <w:pPr>
        <w:rPr>
          <w:lang w:val="en-US"/>
        </w:rPr>
      </w:pPr>
      <w:r w:rsidRPr="000F286D">
        <w:rPr>
          <w:lang w:val="en-US"/>
        </w:rPr>
        <w:t xml:space="preserve">Also the sign of IAM coefficients are incorrect in the paper. </w:t>
      </w:r>
    </w:p>
    <w:tbl>
      <w:tblPr>
        <w:tblW w:w="5000" w:type="pct"/>
        <w:jc w:val="center"/>
        <w:tblBorders>
          <w:bottom w:val="single" w:sz="4" w:space="0" w:color="auto"/>
        </w:tblBorders>
        <w:tblLook w:val="0000" w:firstRow="0" w:lastRow="0" w:firstColumn="0" w:lastColumn="0" w:noHBand="0" w:noVBand="0"/>
      </w:tblPr>
      <w:tblGrid>
        <w:gridCol w:w="2907"/>
        <w:gridCol w:w="2907"/>
        <w:gridCol w:w="2906"/>
      </w:tblGrid>
      <w:tr w:rsidR="00A425B3" w:rsidRPr="000F286D" w:rsidTr="001A2435">
        <w:trPr>
          <w:cantSplit/>
          <w:trHeight w:val="281"/>
          <w:jc w:val="center"/>
        </w:trPr>
        <w:tc>
          <w:tcPr>
            <w:tcW w:w="5000" w:type="pct"/>
            <w:gridSpan w:val="3"/>
            <w:tcBorders>
              <w:bottom w:val="nil"/>
            </w:tcBorders>
          </w:tcPr>
          <w:p w:rsidR="00A425B3" w:rsidRPr="00075EA6" w:rsidRDefault="00A425B3" w:rsidP="001A2435">
            <w:pPr>
              <w:pStyle w:val="TableCaption"/>
            </w:pPr>
            <w:r w:rsidRPr="00075EA6">
              <w:rPr>
                <w:b/>
              </w:rPr>
              <w:t xml:space="preserve">TABLE </w:t>
            </w:r>
            <w:r>
              <w:rPr>
                <w:b/>
              </w:rPr>
              <w:t>7</w:t>
            </w:r>
            <w:r w:rsidRPr="00075EA6">
              <w:rPr>
                <w:b/>
              </w:rPr>
              <w:t xml:space="preserve">. </w:t>
            </w:r>
            <w:r w:rsidRPr="001A2435">
              <w:t>Optical e</w:t>
            </w:r>
            <w:r w:rsidRPr="00963005">
              <w:t>fficiency results</w:t>
            </w:r>
            <w:r>
              <w:t>.</w:t>
            </w:r>
          </w:p>
        </w:tc>
      </w:tr>
      <w:tr w:rsidR="00A425B3" w:rsidRPr="000F286D" w:rsidTr="001A2435">
        <w:trPr>
          <w:cantSplit/>
          <w:trHeight w:val="272"/>
          <w:jc w:val="center"/>
        </w:trPr>
        <w:tc>
          <w:tcPr>
            <w:tcW w:w="1667" w:type="pct"/>
            <w:tcBorders>
              <w:top w:val="single" w:sz="4" w:space="0" w:color="auto"/>
              <w:bottom w:val="single" w:sz="4" w:space="0" w:color="auto"/>
            </w:tcBorders>
          </w:tcPr>
          <w:p w:rsidR="00A425B3" w:rsidRPr="000F286D" w:rsidRDefault="00A425B3" w:rsidP="001A2435">
            <w:pPr>
              <w:jc w:val="center"/>
              <w:rPr>
                <w:b/>
                <w:sz w:val="18"/>
                <w:szCs w:val="18"/>
                <w:lang w:val="en-US"/>
              </w:rPr>
            </w:pPr>
            <w:r w:rsidRPr="000F286D">
              <w:rPr>
                <w:b/>
                <w:sz w:val="18"/>
                <w:szCs w:val="18"/>
                <w:lang w:val="en-US"/>
              </w:rPr>
              <w:t>Parameter</w:t>
            </w:r>
          </w:p>
        </w:tc>
        <w:tc>
          <w:tcPr>
            <w:tcW w:w="1667" w:type="pct"/>
            <w:tcBorders>
              <w:top w:val="single" w:sz="4" w:space="0" w:color="auto"/>
              <w:bottom w:val="single" w:sz="4" w:space="0" w:color="auto"/>
            </w:tcBorders>
          </w:tcPr>
          <w:p w:rsidR="00A425B3" w:rsidRPr="000F286D" w:rsidRDefault="00A425B3" w:rsidP="001A2435">
            <w:pPr>
              <w:jc w:val="center"/>
              <w:rPr>
                <w:b/>
                <w:sz w:val="18"/>
                <w:szCs w:val="18"/>
                <w:lang w:val="en-US"/>
              </w:rPr>
            </w:pPr>
            <w:r w:rsidRPr="000F286D">
              <w:rPr>
                <w:b/>
                <w:sz w:val="18"/>
                <w:szCs w:val="18"/>
                <w:lang w:val="en-US"/>
              </w:rPr>
              <w:t xml:space="preserve">Value </w:t>
            </w:r>
          </w:p>
        </w:tc>
        <w:tc>
          <w:tcPr>
            <w:tcW w:w="1666" w:type="pct"/>
            <w:tcBorders>
              <w:top w:val="single" w:sz="4" w:space="0" w:color="auto"/>
              <w:bottom w:val="single" w:sz="4" w:space="0" w:color="auto"/>
            </w:tcBorders>
          </w:tcPr>
          <w:p w:rsidR="00A425B3" w:rsidRPr="000F286D" w:rsidRDefault="00A425B3" w:rsidP="001A2435">
            <w:pPr>
              <w:jc w:val="center"/>
              <w:rPr>
                <w:b/>
                <w:sz w:val="18"/>
                <w:szCs w:val="18"/>
                <w:lang w:val="en-US"/>
              </w:rPr>
            </w:pPr>
            <w:r w:rsidRPr="000F286D">
              <w:rPr>
                <w:b/>
                <w:sz w:val="18"/>
                <w:szCs w:val="18"/>
                <w:lang w:val="en-US"/>
              </w:rPr>
              <w:t>Unit</w:t>
            </w:r>
          </w:p>
        </w:tc>
      </w:tr>
      <w:tr w:rsidR="00A425B3" w:rsidRPr="005A0E21" w:rsidTr="001A2435">
        <w:trPr>
          <w:cantSplit/>
          <w:jc w:val="center"/>
        </w:trPr>
        <w:tc>
          <w:tcPr>
            <w:tcW w:w="1667" w:type="pct"/>
          </w:tcPr>
          <w:p w:rsidR="00A425B3" w:rsidRPr="00DE2A97" w:rsidRDefault="00A425B3" w:rsidP="001A2435">
            <w:pPr>
              <w:pStyle w:val="Paragraph"/>
            </w:pPr>
            <w:r w:rsidRPr="00DE2A97">
              <w:t xml:space="preserve">Peak optical efficiency </w:t>
            </w:r>
            <w:r w:rsidRPr="00963005">
              <w:rPr>
                <w:rFonts w:ascii="Symbol" w:hAnsi="Symbol"/>
                <w:i/>
              </w:rPr>
              <w:t></w:t>
            </w:r>
            <w:r w:rsidRPr="00963005">
              <w:rPr>
                <w:i/>
                <w:vertAlign w:val="subscript"/>
              </w:rPr>
              <w:t>0</w:t>
            </w:r>
          </w:p>
        </w:tc>
        <w:tc>
          <w:tcPr>
            <w:tcW w:w="1667" w:type="pct"/>
          </w:tcPr>
          <w:p w:rsidR="00A425B3" w:rsidRPr="000F286D" w:rsidRDefault="00A425B3" w:rsidP="001A2435">
            <w:pPr>
              <w:pStyle w:val="Paragraph"/>
            </w:pPr>
            <w:r w:rsidRPr="000F286D">
              <w:t>0.684</w:t>
            </w:r>
          </w:p>
        </w:tc>
        <w:tc>
          <w:tcPr>
            <w:tcW w:w="1666" w:type="pct"/>
          </w:tcPr>
          <w:p w:rsidR="00A425B3" w:rsidRPr="00DE2A97" w:rsidRDefault="00A425B3" w:rsidP="001A2435">
            <w:pPr>
              <w:pStyle w:val="Paragraph"/>
            </w:pPr>
            <w:r w:rsidRPr="00DE2A97">
              <w:t>--</w:t>
            </w:r>
          </w:p>
        </w:tc>
      </w:tr>
      <w:tr w:rsidR="00A425B3" w:rsidRPr="005A0E21" w:rsidTr="001A2435">
        <w:trPr>
          <w:cantSplit/>
          <w:jc w:val="center"/>
        </w:trPr>
        <w:tc>
          <w:tcPr>
            <w:tcW w:w="1667" w:type="pct"/>
          </w:tcPr>
          <w:p w:rsidR="00A425B3" w:rsidRPr="00DE2A97" w:rsidRDefault="00A425B3" w:rsidP="001A2435">
            <w:pPr>
              <w:pStyle w:val="Paragraph"/>
            </w:pPr>
            <w:r w:rsidRPr="00DE2A97">
              <w:t xml:space="preserve">IAM coefficient </w:t>
            </w:r>
            <w:proofErr w:type="spellStart"/>
            <w:r w:rsidRPr="00963005">
              <w:rPr>
                <w:i/>
              </w:rPr>
              <w:t>a</w:t>
            </w:r>
            <w:r w:rsidRPr="00963005">
              <w:rPr>
                <w:i/>
                <w:vertAlign w:val="subscript"/>
              </w:rPr>
              <w:t>K</w:t>
            </w:r>
            <w:proofErr w:type="spellEnd"/>
          </w:p>
        </w:tc>
        <w:tc>
          <w:tcPr>
            <w:tcW w:w="1667" w:type="pct"/>
            <w:vAlign w:val="bottom"/>
          </w:tcPr>
          <w:p w:rsidR="00A425B3" w:rsidRPr="000F286D" w:rsidRDefault="00A425B3" w:rsidP="001A2435">
            <w:pPr>
              <w:pStyle w:val="Paragraph"/>
            </w:pPr>
            <w:r w:rsidRPr="000F286D">
              <w:t>4.11 ·10</w:t>
            </w:r>
            <w:r w:rsidRPr="000F286D">
              <w:rPr>
                <w:vertAlign w:val="superscript"/>
              </w:rPr>
              <w:t>-3</w:t>
            </w:r>
          </w:p>
        </w:tc>
        <w:tc>
          <w:tcPr>
            <w:tcW w:w="1666" w:type="pct"/>
          </w:tcPr>
          <w:p w:rsidR="00A425B3" w:rsidRPr="00DE2A97" w:rsidRDefault="00A425B3" w:rsidP="001A2435">
            <w:pPr>
              <w:pStyle w:val="Paragraph"/>
            </w:pPr>
            <w:r>
              <w:t>--</w:t>
            </w:r>
          </w:p>
        </w:tc>
      </w:tr>
      <w:tr w:rsidR="00A425B3" w:rsidRPr="005A0E21" w:rsidTr="001A2435">
        <w:trPr>
          <w:cantSplit/>
          <w:jc w:val="center"/>
        </w:trPr>
        <w:tc>
          <w:tcPr>
            <w:tcW w:w="1667" w:type="pct"/>
            <w:vAlign w:val="center"/>
          </w:tcPr>
          <w:p w:rsidR="00A425B3" w:rsidRPr="00647794" w:rsidRDefault="00A425B3" w:rsidP="001A2435">
            <w:pPr>
              <w:pStyle w:val="Paragraph"/>
            </w:pPr>
            <w:r w:rsidRPr="00DE2A97">
              <w:t>IAM coefficient</w:t>
            </w:r>
            <w:r w:rsidRPr="00963005">
              <w:rPr>
                <w:i/>
              </w:rPr>
              <w:t xml:space="preserve"> </w:t>
            </w:r>
            <w:proofErr w:type="spellStart"/>
            <w:r w:rsidRPr="00963005">
              <w:rPr>
                <w:i/>
              </w:rPr>
              <w:t>b</w:t>
            </w:r>
            <w:r w:rsidRPr="00963005">
              <w:rPr>
                <w:i/>
                <w:vertAlign w:val="subscript"/>
              </w:rPr>
              <w:t>K</w:t>
            </w:r>
            <w:proofErr w:type="spellEnd"/>
          </w:p>
        </w:tc>
        <w:tc>
          <w:tcPr>
            <w:tcW w:w="1667" w:type="pct"/>
            <w:vAlign w:val="bottom"/>
          </w:tcPr>
          <w:p w:rsidR="00A425B3" w:rsidRPr="000F286D" w:rsidRDefault="00A425B3" w:rsidP="001A2435">
            <w:pPr>
              <w:pStyle w:val="Paragraph"/>
            </w:pPr>
            <w:r w:rsidRPr="000F286D">
              <w:t>5.513 ·10</w:t>
            </w:r>
            <w:r w:rsidRPr="000F286D">
              <w:rPr>
                <w:vertAlign w:val="superscript"/>
              </w:rPr>
              <w:t>-5</w:t>
            </w:r>
          </w:p>
        </w:tc>
        <w:tc>
          <w:tcPr>
            <w:tcW w:w="1666" w:type="pct"/>
            <w:vAlign w:val="center"/>
          </w:tcPr>
          <w:p w:rsidR="00A425B3" w:rsidRPr="00647794" w:rsidRDefault="00A425B3" w:rsidP="001A2435">
            <w:pPr>
              <w:pStyle w:val="Paragraph"/>
            </w:pPr>
            <w:r>
              <w:t>--</w:t>
            </w:r>
          </w:p>
        </w:tc>
      </w:tr>
    </w:tbl>
    <w:p w:rsidR="00A425B3" w:rsidRDefault="00A425B3" w:rsidP="00A425B3">
      <w:pPr>
        <w:pStyle w:val="Paragraph"/>
      </w:pPr>
    </w:p>
    <w:p w:rsidR="00A425B3" w:rsidRDefault="00A425B3">
      <w:pPr>
        <w:rPr>
          <w:lang w:val="en-US"/>
        </w:rPr>
      </w:pPr>
    </w:p>
    <w:sectPr w:rsidR="00A425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B3"/>
    <w:rsid w:val="000F286D"/>
    <w:rsid w:val="00183B6B"/>
    <w:rsid w:val="005F7C68"/>
    <w:rsid w:val="00715EDC"/>
    <w:rsid w:val="007F0291"/>
    <w:rsid w:val="00A425B3"/>
    <w:rsid w:val="00D702C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25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25B3"/>
    <w:rPr>
      <w:rFonts w:ascii="Tahoma" w:hAnsi="Tahoma" w:cs="Tahoma"/>
      <w:sz w:val="16"/>
      <w:szCs w:val="16"/>
    </w:rPr>
  </w:style>
  <w:style w:type="paragraph" w:customStyle="1" w:styleId="Paragraph">
    <w:name w:val="Paragraph"/>
    <w:basedOn w:val="Normal"/>
    <w:rsid w:val="00A425B3"/>
    <w:pPr>
      <w:spacing w:after="0" w:line="240" w:lineRule="auto"/>
      <w:ind w:firstLine="284"/>
      <w:jc w:val="both"/>
    </w:pPr>
    <w:rPr>
      <w:rFonts w:ascii="Times New Roman" w:eastAsia="Times New Roman" w:hAnsi="Times New Roman" w:cs="Times New Roman"/>
      <w:sz w:val="20"/>
      <w:szCs w:val="20"/>
      <w:lang w:val="en-US"/>
    </w:rPr>
  </w:style>
  <w:style w:type="paragraph" w:customStyle="1" w:styleId="TableCaption">
    <w:name w:val="Table Caption"/>
    <w:basedOn w:val="Normal"/>
    <w:qFormat/>
    <w:rsid w:val="00A425B3"/>
    <w:pPr>
      <w:spacing w:before="120" w:after="0" w:line="240" w:lineRule="auto"/>
      <w:jc w:val="center"/>
    </w:pPr>
    <w:rPr>
      <w:rFonts w:ascii="Times New Roman" w:eastAsia="Times New Roman" w:hAnsi="Times New Roman" w:cs="Times New Roman"/>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25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25B3"/>
    <w:rPr>
      <w:rFonts w:ascii="Tahoma" w:hAnsi="Tahoma" w:cs="Tahoma"/>
      <w:sz w:val="16"/>
      <w:szCs w:val="16"/>
    </w:rPr>
  </w:style>
  <w:style w:type="paragraph" w:customStyle="1" w:styleId="Paragraph">
    <w:name w:val="Paragraph"/>
    <w:basedOn w:val="Normal"/>
    <w:rsid w:val="00A425B3"/>
    <w:pPr>
      <w:spacing w:after="0" w:line="240" w:lineRule="auto"/>
      <w:ind w:firstLine="284"/>
      <w:jc w:val="both"/>
    </w:pPr>
    <w:rPr>
      <w:rFonts w:ascii="Times New Roman" w:eastAsia="Times New Roman" w:hAnsi="Times New Roman" w:cs="Times New Roman"/>
      <w:sz w:val="20"/>
      <w:szCs w:val="20"/>
      <w:lang w:val="en-US"/>
    </w:rPr>
  </w:style>
  <w:style w:type="paragraph" w:customStyle="1" w:styleId="TableCaption">
    <w:name w:val="Table Caption"/>
    <w:basedOn w:val="Normal"/>
    <w:qFormat/>
    <w:rsid w:val="00A425B3"/>
    <w:pPr>
      <w:spacing w:before="120" w:after="0" w:line="240" w:lineRule="auto"/>
      <w:jc w:val="center"/>
    </w:pPr>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Plataforma Solar de Almeria - Ciemat</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Loreto Valenzuela</dc:creator>
  <cp:lastModifiedBy>Loreto Valenzuela</cp:lastModifiedBy>
  <cp:revision>4</cp:revision>
  <dcterms:created xsi:type="dcterms:W3CDTF">2016-07-01T10:24:00Z</dcterms:created>
  <dcterms:modified xsi:type="dcterms:W3CDTF">2016-07-01T15:22:00Z</dcterms:modified>
</cp:coreProperties>
</file>