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económico revisado</w:t>
      </w:r>
    </w:p>
    <w:p>
      <w:pPr>
        <w:pStyle w:val="Subtitle"/>
      </w:pPr>
      <w:r>
        <w:t>INFORME ECONÓMICO  ·  ESPAÑA</w:t>
      </w:r>
    </w:p>
    <w:p>
      <w:pPr>
        <w:pStyle w:val="Heading1"/>
      </w:pPr>
      <w:r>
        <w:t>Resumen ejecutivo</w:t>
      </w:r>
    </w:p>
    <w:p>
      <w:r>
        <w:t>Análisis sintético: año, acción, piñón y 1.250,00 €. Revisar los importes antes de utilizar el informe.</w:t>
      </w:r>
    </w:p>
    <w:p>
      <w:pPr>
        <w:sectPr>
          <w:headerReference w:type="default" r:id="rId9"/>
          <w:footerReference w:type="default" r:id="rId10"/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Subtitle"/>
      </w:pPr>
      <w:r>
        <w:t>01  /  DATOS ECONÓMICOS</w:t>
      </w:r>
    </w:p>
    <w:p>
      <w:pPr>
        <w:pStyle w:val="Heading1"/>
      </w:pPr>
      <w:r>
        <w:t>Detalle de importes</w:t>
      </w:r>
    </w:p>
    <w:p>
      <w:pPr>
        <w:pStyle w:val="Subtitle"/>
      </w:pPr>
      <w:r>
        <w:t>Desglose por concepto, expresado en euros.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520"/>
      </w:tblGrid>
      <w:tr>
        <w:trPr>
          <w:tblHeader/>
        </w:trPr>
        <w:tc>
          <w:tcPr>
            <w:tcW w:type="dxa" w:w="6912"/>
            <w:shd w:fill="193B45"/>
          </w:tcPr>
          <w:p>
            <w:pPr>
              <w:spacing w:before="160" w:after="160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520"/>
            <w:shd w:fill="193B45"/>
          </w:tcPr>
          <w:p>
            <w:pPr>
              <w:spacing w:before="160" w:after="160"/>
              <w:jc w:val="right"/>
            </w:pPr>
            <w:r>
              <w:rPr>
                <w:b/>
                <w:color w:val="FFFFFF"/>
                <w:sz w:val="20"/>
              </w:rPr>
              <w:t>Importe (€)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Año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Acción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2,50 €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3,75 €</w:t>
            </w:r>
          </w:p>
        </w:tc>
      </w:tr>
      <w:tr>
        <w:trPr>
          <w:cantSplit/>
        </w:trPr>
        <w:tc>
          <w:tcPr>
            <w:tcW w:type="dxa" w:w="6912"/>
            <w:shd w:fill="DDEBE9"/>
          </w:tcPr>
          <w:p>
            <w:pPr>
              <w:spacing w:before="160" w:after="160"/>
              <w:jc w:val="left"/>
            </w:pPr>
            <w:r>
              <w:rPr>
                <w:b/>
                <w:color w:val="193B45"/>
                <w:sz w:val="20"/>
              </w:rPr>
              <w:t>Total</w:t>
            </w:r>
          </w:p>
        </w:tc>
        <w:tc>
          <w:tcPr>
            <w:tcW w:type="dxa" w:w="2520"/>
            <w:shd w:fill="DDEBE9"/>
          </w:tcPr>
          <w:p>
            <w:pPr>
              <w:spacing w:before="160" w:after="160"/>
              <w:jc w:val="right"/>
            </w:pPr>
            <w:r>
              <w:rPr>
                <w:b/>
                <w:color w:val="193B45"/>
                <w:sz w:val="20"/>
              </w:rPr>
              <w:t>7,50 €</w:t>
            </w:r>
          </w:p>
        </w:tc>
      </w:tr>
    </w:tbl>
    <w:p>
      <w:pPr>
        <w:pStyle w:val="Heading1"/>
      </w:pPr>
      <w:r>
        <w:t>Notas de revisión</w:t>
      </w:r>
    </w:p>
    <w:p>
      <w:r>
        <w:t>Cada fila corresponde a un concepto del archivo de origen. El total suma todos los importes en céntimos antes de expresarlos en euros.</w:t>
      </w:r>
    </w:p>
    <w:p>
      <w:pPr>
        <w:pStyle w:val="ListNumber"/>
      </w:pPr>
      <w:r>
        <w:t>Contrastar los conceptos con el archivo de origen.</w:t>
      </w:r>
    </w:p>
    <w:p>
      <w:pPr>
        <w:pStyle w:val="ListNumber"/>
      </w:pPr>
      <w:r>
        <w:t>Revisar el total antes de utilizar este informe.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 xml:space="preserve">Página </w:t>
    </w:r>
    <w:fldSimple w:instr="PAGE"/>
    <w:r>
      <w:t xml:space="preserve"> · Informe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8"/>
      </w:rPr>
      <w:t>REGULAY  /  INFORMES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6" w:lineRule="auto"/>
    </w:pPr>
    <w:rPr>
      <w:rFonts w:ascii="Liberation Sans" w:hAnsi="Liberation Sans"/>
      <w:color w:val="263D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Liberation Sans" w:hAnsi="Liberation Sans"/>
      <w:b/>
      <w:bCs/>
      <w:color w:val="193B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/>
      <w:b/>
      <w:bCs/>
      <w:color w:val="193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 w:before="1040"/>
      <w:contextualSpacing/>
    </w:pPr>
    <w:rPr>
      <w:rFonts w:ascii="Liberation Serif" w:hAnsi="Liberation Serif"/>
      <w:color w:val="193B45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/>
      <w:i/>
      <w:iCs/>
      <w:color w:val="5F747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193B45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2</cp:version>
</cp:coreProperties>
</file>