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 con imagen sintetica</w:t>
      </w:r>
    </w:p>
    <w:p>
      <w:r>
        <w:t>El contrato cuesta 10 euros.</w:t>
      </w:r>
    </w:p>
    <w:p>
      <w:r>
        <w:drawing>
          <wp:inline xmlns:a="http://schemas.openxmlformats.org/drawingml/2006/main" xmlns:pic="http://schemas.openxmlformats.org/drawingml/2006/picture">
            <wp:extent cx="45720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con imagen sintetica</dc:title>
  <dc:subject/>
  <dc:creator>regulAI synthetic fixture generator</dc:creator>
  <cp:keywords/>
  <dc:description>generated by python-docx</dc:description>
  <cp:lastModifiedBy/>
  <cp:revision>1</cp:revision>
  <dcterms:created xsi:type="dcterms:W3CDTF">2026-10-03T00:00:00Z</dcterms:created>
  <dcterms:modified xsi:type="dcterms:W3CDTF">2026-10-03T00:00:00Z</dcterms:modified>
  <cp:category/>
</cp:coreProperties>
</file>