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económico de España</w:t>
      </w:r>
    </w:p>
    <w:p>
      <w:pPr>
        <w:pStyle w:val="Subtitle"/>
      </w:pPr>
      <w:r>
        <w:t>España · Informe económico</w:t>
      </w:r>
    </w:p>
    <w:p>
      <w:pPr>
        <w:sectPr>
          <w:headerReference w:type="default" r:id="rId9"/>
          <w:footerReference w:type="default" r:id="rId10"/>
          <w:pgSz w:w="11909" w:h="16834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Resumen ejecutivo</w:t>
      </w:r>
    </w:p>
    <w:p>
      <w:r>
        <w:t>Análisis de importes en euros. Año 2026; revisión técnica con tildes, ñ y símbolos: €, £ y $.</w:t>
      </w:r>
    </w:p>
    <w:p>
      <w:pPr>
        <w:pStyle w:val="ListNumber"/>
      </w:pPr>
      <w:r>
        <w:t>Comprobar los importes originales.</w:t>
      </w:r>
    </w:p>
    <w:p>
      <w:pPr>
        <w:pStyle w:val="ListNumber"/>
      </w:pPr>
      <w:r>
        <w:t>Conservar la trazabilidad de las revisiones.</w:t>
      </w:r>
    </w:p>
    <w:p>
      <w:pPr>
        <w:pStyle w:val="Heading1"/>
      </w:pPr>
      <w:r>
        <w:t>Detalle de importes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30"/>
        <w:gridCol w:w="4730"/>
      </w:tblGrid>
      <w:tr>
        <w:trPr>
          <w:tblHeader/>
        </w:trPr>
        <w:tc>
          <w:tcPr>
            <w:tcW w:type="dxa" w:w="4730"/>
          </w:tcPr>
          <w:p>
            <w:r>
              <w:t>Concepto</w:t>
            </w:r>
          </w:p>
        </w:tc>
        <w:tc>
          <w:tcPr>
            <w:tcW w:type="dxa" w:w="4730"/>
          </w:tcPr>
          <w:p>
            <w:r>
              <w:t>Importe (€)</w:t>
            </w:r>
          </w:p>
        </w:tc>
      </w:tr>
      <w:tr>
        <w:trPr>
          <w:cantSplit/>
        </w:trPr>
        <w:tc>
          <w:tcPr>
            <w:tcW w:type="dxa" w:w="4730"/>
          </w:tcPr>
          <w:p>
            <w:r>
              <w:t>Nombre: Synthetic Private Marker</w:t>
            </w:r>
          </w:p>
        </w:tc>
        <w:tc>
          <w:tcPr>
            <w:tcW w:type="dxa" w:w="4730"/>
          </w:tcPr>
          <w:p>
            <w:r>
              <w:t>1,25 €</w:t>
            </w:r>
          </w:p>
        </w:tc>
      </w:tr>
      <w:tr>
        <w:trPr>
          <w:cantSplit/>
        </w:trPr>
        <w:tc>
          <w:tcPr>
            <w:tcW w:type="dxa" w:w="4730"/>
          </w:tcPr>
          <w:p>
            <w:r>
              <w:t>&lt;script&gt;alert(1)&lt;/script&gt;</w:t>
            </w:r>
          </w:p>
        </w:tc>
        <w:tc>
          <w:tcPr>
            <w:tcW w:type="dxa" w:w="4730"/>
          </w:tcPr>
          <w:p>
            <w:r>
              <w:t>2,50 €</w:t>
            </w:r>
          </w:p>
        </w:tc>
      </w:tr>
      <w:tr>
        <w:trPr>
          <w:cantSplit/>
        </w:trPr>
        <w:tc>
          <w:tcPr>
            <w:tcW w:type="dxa" w:w="4730"/>
          </w:tcPr>
          <w:p>
            <w:r>
              <w:t>=HYPERLINK("synthetic.invalid")</w:t>
            </w:r>
          </w:p>
        </w:tc>
        <w:tc>
          <w:tcPr>
            <w:tcW w:type="dxa" w:w="4730"/>
          </w:tcPr>
          <w:p>
            <w:r>
              <w:t>3,75 €</w:t>
            </w:r>
          </w:p>
        </w:tc>
      </w:tr>
      <w:tr>
        <w:trPr>
          <w:cantSplit/>
        </w:trPr>
        <w:tc>
          <w:tcPr>
            <w:tcW w:type="dxa" w:w="4730"/>
          </w:tcPr>
          <w:p>
            <w:r>
              <w:t>Total</w:t>
            </w:r>
          </w:p>
        </w:tc>
        <w:tc>
          <w:tcPr>
            <w:tcW w:type="dxa" w:w="4730"/>
          </w:tcPr>
          <w:p>
            <w:r>
              <w:t>7,50 €</w:t>
            </w:r>
          </w:p>
        </w:tc>
      </w:tr>
    </w:tbl>
    <w:p>
      <w:pPr>
        <w:sectPr>
          <w:pgSz w:w="11909" w:h="16834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Notas de revisión</w:t>
      </w:r>
    </w:p>
    <w:p>
      <w:r>
        <w:t>Los importes se expresan en euros. Año 2026; revisión técnica.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Página </w:t>
    </w:r>
    <w:fldSimple w:instr="PAGE"/>
    <w:r>
      <w:t xml:space="preserve"> · Informe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REGULAY · ÁREA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17365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color w:val="17365D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