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500" w:type="dxa"/>
          <w:left w:w="500" w:type="dxa"/>
          <w:bottom w:w="500" w:type="dxa"/>
          <w:right w:w="500" w:type="dxa"/>
        </w:tblCellMar>
      </w:tblPr>
      <w:tblGrid>
        <w:gridCol w:w="9306"/>
      </w:tblGrid>
      <w:tr>
        <w:trPr>
          <w:trHeight w:val="2600" w:hRule="atLeast"/>
        </w:trPr>
        <w:tc>
          <w:tcPr>
            <w:tcW w:w="9306" w:type="dxa"/>
            <w:tcBorders/>
            <w:shd w:color="auto" w:fill="123F29" w:val="clear"/>
            <w:vAlign w:val="center"/>
          </w:tcPr>
          <w:p>
            <w:pPr>
              <w:pStyle w:val="Normal"/>
              <w:spacing w:before="120" w:after="120"/>
              <w:jc w:val="center"/>
              <w:rPr/>
            </w:pPr>
            <w:r>
              <w:rPr>
                <w:rFonts w:eastAsia="IBM Plex Mono" w:cs="IBM Plex Mono" w:ascii="IBM Plex Mono" w:hAnsi="IBM Plex Mono"/>
                <w:b/>
                <w:bCs/>
                <w:color w:val="CFE3D3"/>
                <w:sz w:val="20"/>
                <w:szCs w:val="20"/>
              </w:rPr>
              <w:t>BOLETÍN MUNICIPAL</w:t>
            </w:r>
          </w:p>
          <w:p>
            <w:pPr>
              <w:pStyle w:val="Normal"/>
              <w:jc w:val="center"/>
              <w:rPr/>
            </w:pPr>
            <w:r>
              <w:rPr>
                <w:rFonts w:eastAsia="Georgia" w:cs="Georgia" w:ascii="Georgia" w:hAnsi="Georgia"/>
                <w:b/>
                <w:bCs/>
                <w:color w:val="FFFFFF"/>
                <w:sz w:val="56"/>
                <w:szCs w:val="56"/>
              </w:rPr>
              <w:t>Boletín Municipal</w:t>
            </w:r>
          </w:p>
          <w:p>
            <w:pPr>
              <w:pStyle w:val="Normal"/>
              <w:spacing w:before="0" w:after="160"/>
              <w:jc w:val="center"/>
              <w:rPr/>
            </w:pPr>
            <w:r>
              <w:rPr>
                <w:rFonts w:eastAsia="Georgia" w:cs="Georgia" w:ascii="Georgia" w:hAnsi="Georgia"/>
                <w:b/>
                <w:bCs/>
                <w:color w:val="FFFFFF"/>
                <w:sz w:val="56"/>
                <w:szCs w:val="56"/>
              </w:rPr>
              <w:t>de Convocatorias</w:t>
            </w:r>
          </w:p>
          <w:p>
            <w:pPr>
              <w:pStyle w:val="Normal"/>
              <w:jc w:val="center"/>
              <w:rPr/>
            </w:pPr>
            <w:r>
              <w:rPr>
                <w:rFonts w:eastAsia="Georgia" w:cs="Georgia" w:ascii="Georgia" w:hAnsi="Georgia"/>
                <w:i/>
                <w:iCs/>
                <w:color w:val="D7E6DB"/>
                <w:sz w:val="24"/>
                <w:szCs w:val="24"/>
              </w:rPr>
              <w:t>Vigilancia automática de subvenciones, licitaciones y empleo público</w:t>
            </w:r>
          </w:p>
        </w:tc>
      </w:tr>
    </w:tbl>
    <w:p>
      <w:pPr>
        <w:pStyle w:val="Normal"/>
        <w:spacing w:before="900" w:after="0"/>
        <w:rPr/>
      </w:pPr>
      <w:r>
        <w:rPr/>
      </w:r>
    </w:p>
    <w:p>
      <w:pPr>
        <w:pStyle w:val="Normal"/>
        <w:jc w:val="center"/>
        <w:rPr/>
      </w:pPr>
      <w:r>
        <w:rPr>
          <w:rFonts w:eastAsia="Georgia" w:cs="Georgia" w:ascii="Georgia" w:hAnsi="Georgia"/>
          <w:i/>
          <w:iCs/>
          <w:color w:val="565F56"/>
          <w:sz w:val="22"/>
          <w:szCs w:val="22"/>
        </w:rPr>
        <w:t>Documento de presentación del proyecto</w:t>
      </w:r>
    </w:p>
    <w:p>
      <w:pPr>
        <w:pStyle w:val="Normal"/>
        <w:spacing w:before="700" w:after="0"/>
        <w:rPr/>
      </w:pPr>
      <w:r>
        <w:rPr/>
      </w:r>
    </w:p>
    <w:p>
      <w:pPr>
        <w:pStyle w:val="Normal"/>
        <w:pBdr>
          <w:top w:val="single" w:sz="4" w:space="10" w:color="4C7A57"/>
        </w:pBdr>
        <w:jc w:val="center"/>
        <w:rPr/>
      </w:pPr>
      <w:r>
        <w:rPr/>
      </w:r>
    </w:p>
    <w:p>
      <w:pPr>
        <w:pStyle w:val="Normal"/>
        <w:spacing w:before="260" w:after="40"/>
        <w:jc w:val="center"/>
        <w:rPr/>
      </w:pPr>
      <w:r>
        <w:rPr>
          <w:rFonts w:eastAsia="IBM Plex Mono" w:cs="IBM Plex Mono" w:ascii="IBM Plex Mono" w:hAnsi="IBM Plex Mono"/>
          <w:b/>
          <w:bCs/>
          <w:color w:val="1E5E3E"/>
          <w:sz w:val="22"/>
          <w:szCs w:val="22"/>
        </w:rPr>
        <w:t>EQUIPO DE DESARROLLO</w:t>
      </w:r>
    </w:p>
    <w:p>
      <w:pPr>
        <w:pStyle w:val="Normal"/>
        <w:spacing w:before="220" w:after="0"/>
        <w:jc w:val="center"/>
        <w:rPr/>
      </w:pPr>
      <w:r>
        <w:rPr>
          <w:rFonts w:eastAsia="Georgia" w:cs="Georgia" w:ascii="Georgia" w:hAnsi="Georgia"/>
          <w:color w:val="1B2620"/>
          <w:sz w:val="30"/>
          <w:szCs w:val="30"/>
        </w:rPr>
        <w:t>Luzmila Moreno</w:t>
      </w:r>
    </w:p>
    <w:p>
      <w:pPr>
        <w:pStyle w:val="Normal"/>
        <w:spacing w:before="140" w:after="0"/>
        <w:jc w:val="center"/>
        <w:rPr/>
      </w:pPr>
      <w:r>
        <w:rPr>
          <w:rFonts w:eastAsia="Georgia" w:cs="Georgia" w:ascii="Georgia" w:hAnsi="Georgia"/>
          <w:color w:val="1B2620"/>
          <w:sz w:val="30"/>
          <w:szCs w:val="30"/>
        </w:rPr>
        <w:t>Rodrigo Gálvez</w:t>
      </w:r>
    </w:p>
    <w:p>
      <w:pPr>
        <w:pStyle w:val="Normal"/>
        <w:spacing w:before="140" w:after="0"/>
        <w:jc w:val="center"/>
        <w:rPr/>
      </w:pPr>
      <w:r>
        <w:rPr>
          <w:rFonts w:eastAsia="Georgia" w:cs="Georgia" w:ascii="Georgia" w:hAnsi="Georgia"/>
          <w:color w:val="1B2620"/>
          <w:sz w:val="30"/>
          <w:szCs w:val="30"/>
        </w:rPr>
        <w:t>Javier Martín</w:t>
      </w:r>
    </w:p>
    <w:p>
      <w:pPr>
        <w:pStyle w:val="Normal"/>
        <w:rPr/>
      </w:pPr>
      <w:r>
        <w:rPr/>
      </w:r>
      <w:r>
        <w:br w:type="page"/>
      </w:r>
    </w:p>
    <w:p>
      <w:pPr>
        <w:pStyle w:val="Heading1"/>
        <w:pBdr>
          <w:bottom w:val="single" w:sz="4" w:space="4" w:color="1E5E3E"/>
        </w:pBdr>
        <w:spacing w:before="0" w:after="140"/>
        <w:rPr/>
      </w:pPr>
      <w:r>
        <w:rPr>
          <w:rFonts w:eastAsia="Georgia" w:cs="Georgia" w:ascii="Georgia" w:hAnsi="Georgia"/>
          <w:b/>
          <w:bCs/>
          <w:color w:val="1E5E3E"/>
          <w:sz w:val="28"/>
          <w:szCs w:val="28"/>
        </w:rPr>
        <w:t>¿Qué es este proyecto?</w:t>
      </w:r>
    </w:p>
    <w:p>
      <w:pPr>
        <w:pStyle w:val="Normal"/>
        <w:spacing w:before="0" w:after="160"/>
        <w:rPr/>
      </w:pPr>
      <w:r>
        <w:rPr>
          <w:color w:val="1B2620"/>
          <w:sz w:val="22"/>
          <w:szCs w:val="22"/>
        </w:rPr>
        <w:t>Es una herramienta que revisa todos los días, de forma automática, los boletines oficiales (el BOE nacional, el diario oficial de Castilla-La Mancha y el boletín de la provincia) para encontrar subvenciones, ayudas, licitaciones y ofertas de empleo público que puedan interesar a un ayuntamiento. Todo lo que antes había que buscar a mano, página por página, ahora se localiza solo.</w:t>
      </w:r>
    </w:p>
    <w:p>
      <w:pPr>
        <w:pStyle w:val="Heading1"/>
        <w:pBdr>
          <w:bottom w:val="single" w:sz="4" w:space="4" w:color="1E5E3E"/>
        </w:pBdr>
        <w:spacing w:before="320" w:after="140"/>
        <w:rPr/>
      </w:pPr>
      <w:r>
        <w:rPr>
          <w:rFonts w:eastAsia="Georgia" w:cs="Georgia" w:ascii="Georgia" w:hAnsi="Georgia"/>
          <w:b/>
          <w:bCs/>
          <w:color w:val="1E5E3E"/>
          <w:sz w:val="28"/>
          <w:szCs w:val="28"/>
        </w:rPr>
        <w:t>¿Qué problema resuelve?</w:t>
      </w:r>
    </w:p>
    <w:p>
      <w:pPr>
        <w:pStyle w:val="Normal"/>
        <w:spacing w:before="0" w:after="160"/>
        <w:rPr/>
      </w:pPr>
      <w:r>
        <w:rPr>
          <w:color w:val="1B2620"/>
          <w:sz w:val="22"/>
          <w:szCs w:val="22"/>
        </w:rPr>
        <w:t>Muchos ayuntamientos pequeños no tienen personal dedicado a estar pendiente de los boletines oficiales, y por eso se pierden convocatorias de dinero o de plazas de empleo con plazos muy ajustados. Esta herramienta hace ese seguimiento por ellos, para que ninguna oportunidad importante pase desapercibida ni se descubra cuando ya sea demasiado tarde para presentar la solicitud.</w:t>
      </w:r>
    </w:p>
    <w:p>
      <w:pPr>
        <w:pStyle w:val="Heading1"/>
        <w:pBdr>
          <w:bottom w:val="single" w:sz="4" w:space="4" w:color="1E5E3E"/>
        </w:pBdr>
        <w:spacing w:before="320" w:after="140"/>
        <w:rPr/>
      </w:pPr>
      <w:r>
        <w:rPr>
          <w:rFonts w:eastAsia="Georgia" w:cs="Georgia" w:ascii="Georgia" w:hAnsi="Georgia"/>
          <w:b/>
          <w:bCs/>
          <w:color w:val="1E5E3E"/>
          <w:sz w:val="28"/>
          <w:szCs w:val="28"/>
        </w:rPr>
        <w:t>¿Cómo funciona, en pocas palabras?</w:t>
      </w:r>
    </w:p>
    <w:p>
      <w:pPr>
        <w:pStyle w:val="ListParagraph"/>
        <w:numPr>
          <w:ilvl w:val="0"/>
          <w:numId w:val="3"/>
        </w:numPr>
        <w:spacing w:before="0" w:after="90"/>
        <w:rPr/>
      </w:pPr>
      <w:r>
        <w:rPr>
          <w:b/>
          <w:bCs/>
          <w:color w:val="1B2620"/>
          <w:sz w:val="22"/>
          <w:szCs w:val="22"/>
        </w:rPr>
        <w:t xml:space="preserve">Consulta automática. </w:t>
      </w:r>
      <w:r>
        <w:rPr>
          <w:color w:val="1B2620"/>
          <w:sz w:val="22"/>
          <w:szCs w:val="22"/>
        </w:rPr>
        <w:t>Cada vez que se hace una búsqueda, el sistema entra en los boletines oficiales y descarga las publicaciones más recientes.</w:t>
      </w:r>
    </w:p>
    <w:p>
      <w:pPr>
        <w:pStyle w:val="ListParagraph"/>
        <w:numPr>
          <w:ilvl w:val="0"/>
          <w:numId w:val="1"/>
        </w:numPr>
        <w:spacing w:before="0" w:after="90"/>
        <w:rPr/>
      </w:pPr>
      <w:r>
        <w:rPr>
          <w:b/>
          <w:bCs/>
          <w:color w:val="1B2620"/>
          <w:sz w:val="22"/>
          <w:szCs w:val="22"/>
        </w:rPr>
        <w:t xml:space="preserve">Filtro por interés. </w:t>
      </w:r>
      <w:r>
        <w:rPr>
          <w:color w:val="1B2620"/>
          <w:sz w:val="22"/>
          <w:szCs w:val="22"/>
        </w:rPr>
        <w:t>De todo lo publicado, se queda solo con lo que encaja con los temas que interesan al municipio (cultura, empleo, medio ambiente, oposiciones, etc.).</w:t>
      </w:r>
    </w:p>
    <w:p>
      <w:pPr>
        <w:pStyle w:val="ListParagraph"/>
        <w:numPr>
          <w:ilvl w:val="0"/>
          <w:numId w:val="1"/>
        </w:numPr>
        <w:spacing w:before="0" w:after="90"/>
        <w:rPr/>
      </w:pPr>
      <w:r>
        <w:rPr>
          <w:b/>
          <w:bCs/>
          <w:color w:val="1B2620"/>
          <w:sz w:val="22"/>
          <w:szCs w:val="22"/>
        </w:rPr>
        <w:t xml:space="preserve">Lectura de los datos importantes. </w:t>
      </w:r>
      <w:r>
        <w:rPr>
          <w:color w:val="1B2620"/>
          <w:sz w:val="22"/>
          <w:szCs w:val="22"/>
        </w:rPr>
        <w:t>Con cada convocatoria detectada, extrae la información clave: de qué trata, quién la organiza, qué dinero ofrece y hasta cuándo se puede solicitar.</w:t>
      </w:r>
    </w:p>
    <w:p>
      <w:pPr>
        <w:pStyle w:val="ListParagraph"/>
        <w:numPr>
          <w:ilvl w:val="0"/>
          <w:numId w:val="1"/>
        </w:numPr>
        <w:spacing w:before="0" w:after="90"/>
        <w:rPr/>
      </w:pPr>
      <w:r>
        <w:rPr>
          <w:b/>
          <w:bCs/>
          <w:color w:val="1B2620"/>
          <w:sz w:val="22"/>
          <w:szCs w:val="22"/>
        </w:rPr>
        <w:t xml:space="preserve">Resumen en lenguaje sencillo (opcional). </w:t>
      </w:r>
      <w:r>
        <w:rPr>
          <w:color w:val="1B2620"/>
          <w:sz w:val="22"/>
          <w:szCs w:val="22"/>
        </w:rPr>
        <w:t>Puede generar, con inteligencia artificial, un resumen fácil de leer de cada convocatoria, en un lenguaje claro y directo.</w:t>
      </w:r>
    </w:p>
    <w:p>
      <w:pPr>
        <w:pStyle w:val="ListParagraph"/>
        <w:numPr>
          <w:ilvl w:val="0"/>
          <w:numId w:val="1"/>
        </w:numPr>
        <w:spacing w:before="0" w:after="90"/>
        <w:rPr/>
      </w:pPr>
      <w:r>
        <w:rPr>
          <w:b/>
          <w:bCs/>
          <w:color w:val="1B2620"/>
          <w:sz w:val="22"/>
          <w:szCs w:val="22"/>
        </w:rPr>
        <w:t xml:space="preserve">Presentación clara de resultados. </w:t>
      </w:r>
      <w:r>
        <w:rPr>
          <w:color w:val="1B2620"/>
          <w:sz w:val="22"/>
          <w:szCs w:val="22"/>
        </w:rPr>
        <w:t>Todo el resultado se muestra ordenado en una página web sencilla, y también se puede descargar como un informe.</w:t>
      </w:r>
    </w:p>
    <w:p>
      <w:pPr>
        <w:pStyle w:val="Normal"/>
        <w:spacing w:before="100" w:after="0"/>
        <w:rPr/>
      </w:pPr>
      <w:r>
        <w:rPr/>
      </w:r>
    </w:p>
    <w:tbl>
      <w:tblPr>
        <w:tblW w:w="5000" w:type="pct"/>
        <w:jc w:val="left"/>
        <w:tblInd w:w="0" w:type="dxa"/>
        <w:tblLayout w:type="fixed"/>
        <w:tblCellMar>
          <w:top w:w="220" w:type="dxa"/>
          <w:left w:w="260" w:type="dxa"/>
          <w:bottom w:w="220" w:type="dxa"/>
          <w:right w:w="260" w:type="dxa"/>
        </w:tblCellMar>
      </w:tblPr>
      <w:tblGrid>
        <w:gridCol w:w="9306"/>
      </w:tblGrid>
      <w:tr>
        <w:trPr/>
        <w:tc>
          <w:tcPr>
            <w:tcW w:w="9306" w:type="dxa"/>
            <w:tcBorders>
              <w:top w:val="single" w:sz="4" w:space="0" w:color="C97A3A"/>
              <w:left w:val="single" w:sz="24" w:space="0" w:color="C97A3A"/>
              <w:bottom w:val="single" w:sz="4" w:space="0" w:color="C97A3A"/>
              <w:right w:val="single" w:sz="4" w:space="0" w:color="C97A3A"/>
            </w:tcBorders>
            <w:shd w:color="auto" w:fill="FBEFE6" w:val="clear"/>
          </w:tcPr>
          <w:p>
            <w:pPr>
              <w:pStyle w:val="Normal"/>
              <w:spacing w:before="0" w:after="80"/>
              <w:rPr/>
            </w:pPr>
            <w:r>
              <w:rPr>
                <w:rFonts w:eastAsia="Georgia" w:cs="Georgia" w:ascii="Georgia" w:hAnsi="Georgia"/>
                <w:b/>
                <w:bCs/>
                <w:color w:val="8A4A15"/>
                <w:sz w:val="22"/>
                <w:szCs w:val="22"/>
              </w:rPr>
              <w:t xml:space="preserve">⚠ </w:t>
            </w:r>
            <w:r>
              <w:rPr>
                <w:rFonts w:eastAsia="Georgia" w:cs="Georgia" w:ascii="Georgia" w:hAnsi="Georgia"/>
                <w:b/>
                <w:bCs/>
                <w:color w:val="8A4A15"/>
                <w:sz w:val="22"/>
                <w:szCs w:val="22"/>
              </w:rPr>
              <w:t>El aviso de plazos urgentes</w:t>
            </w:r>
          </w:p>
          <w:p>
            <w:pPr>
              <w:pStyle w:val="Normal"/>
              <w:rPr/>
            </w:pPr>
            <w:r>
              <w:rPr>
                <w:color w:val="1B2620"/>
                <w:sz w:val="21"/>
                <w:szCs w:val="21"/>
              </w:rPr>
              <w:t>Cuando a una convocatoria le quedan pocos días para vencer (por defecto, entre 3 y 5 días), el sistema puede enviar un mensaje en Telegram avisando de que ese plazo está a punto de cerrarse, sin necesidad de que nadie esté consultando la web constantemente.</w:t>
            </w:r>
          </w:p>
        </w:tc>
      </w:tr>
    </w:tbl>
    <w:p>
      <w:pPr>
        <w:pStyle w:val="Normal"/>
        <w:spacing w:before="160" w:after="0"/>
        <w:rPr/>
      </w:pPr>
      <w:r>
        <w:rPr/>
      </w:r>
    </w:p>
    <w:p>
      <w:pPr>
        <w:pStyle w:val="Heading1"/>
        <w:pBdr>
          <w:bottom w:val="single" w:sz="4" w:space="4" w:color="1E5E3E"/>
        </w:pBdr>
        <w:spacing w:before="320" w:after="140"/>
        <w:rPr/>
      </w:pPr>
      <w:r>
        <w:rPr>
          <w:rFonts w:eastAsia="Georgia" w:cs="Georgia" w:ascii="Georgia" w:hAnsi="Georgia"/>
          <w:b/>
          <w:bCs/>
          <w:color w:val="1E5E3E"/>
          <w:sz w:val="28"/>
          <w:szCs w:val="28"/>
        </w:rPr>
        <w:t>Otras funciones destacadas</w:t>
      </w:r>
    </w:p>
    <w:tbl>
      <w:tblPr>
        <w:tblW w:w="5000" w:type="pct"/>
        <w:jc w:val="left"/>
        <w:tblInd w:w="0" w:type="dxa"/>
        <w:tblLayout w:type="fixed"/>
        <w:tblCellMar>
          <w:top w:w="200" w:type="dxa"/>
          <w:left w:w="220" w:type="dxa"/>
          <w:bottom w:w="200" w:type="dxa"/>
          <w:right w:w="220" w:type="dxa"/>
        </w:tblCellMar>
      </w:tblPr>
      <w:tblGrid>
        <w:gridCol w:w="4652"/>
        <w:gridCol w:w="4653"/>
      </w:tblGrid>
      <w:tr>
        <w:trPr/>
        <w:tc>
          <w:tcPr>
            <w:tcW w:w="4652" w:type="dxa"/>
            <w:tcBorders>
              <w:bottom w:val="single" w:sz="4" w:space="0" w:color="FFFFFF"/>
              <w:right w:val="single" w:sz="4" w:space="0" w:color="FFFFFF"/>
            </w:tcBorders>
            <w:shd w:color="auto" w:fill="F2F5F0" w:val="clear"/>
          </w:tcPr>
          <w:p>
            <w:pPr>
              <w:pStyle w:val="Normal"/>
              <w:spacing w:before="0" w:after="60"/>
              <w:rPr/>
            </w:pPr>
            <w:r>
              <w:rPr>
                <w:sz w:val="24"/>
                <w:szCs w:val="24"/>
              </w:rPr>
              <w:t xml:space="preserve">🏛  </w:t>
            </w:r>
            <w:r>
              <w:rPr>
                <w:rFonts w:eastAsia="Georgia" w:cs="Georgia" w:ascii="Georgia" w:hAnsi="Georgia"/>
                <w:b/>
                <w:bCs/>
                <w:color w:val="1E5E3E"/>
                <w:sz w:val="22"/>
                <w:szCs w:val="22"/>
              </w:rPr>
              <w:t>Empleo público</w:t>
            </w:r>
          </w:p>
          <w:p>
            <w:pPr>
              <w:pStyle w:val="Normal"/>
              <w:rPr/>
            </w:pPr>
            <w:r>
              <w:rPr>
                <w:color w:val="1B2620"/>
                <w:sz w:val="20"/>
                <w:szCs w:val="20"/>
              </w:rPr>
              <w:t>Un apartado propio para oposiciones y ofertas de empleo, separado del resto de convocatorias.</w:t>
            </w:r>
          </w:p>
        </w:tc>
        <w:tc>
          <w:tcPr>
            <w:tcW w:w="4653" w:type="dxa"/>
            <w:tcBorders>
              <w:left w:val="single" w:sz="4" w:space="0" w:color="FFFFFF"/>
              <w:bottom w:val="single" w:sz="4" w:space="0" w:color="FFFFFF"/>
            </w:tcBorders>
            <w:shd w:color="auto" w:fill="F2F5F0" w:val="clear"/>
          </w:tcPr>
          <w:p>
            <w:pPr>
              <w:pStyle w:val="Normal"/>
              <w:spacing w:before="0" w:after="60"/>
              <w:rPr/>
            </w:pPr>
            <w:r>
              <w:rPr>
                <w:sz w:val="24"/>
                <w:szCs w:val="24"/>
              </w:rPr>
              <w:t xml:space="preserve">📅  </w:t>
            </w:r>
            <w:r>
              <w:rPr>
                <w:rFonts w:eastAsia="Georgia" w:cs="Georgia" w:ascii="Georgia" w:hAnsi="Georgia"/>
                <w:b/>
                <w:bCs/>
                <w:color w:val="1E5E3E"/>
                <w:sz w:val="22"/>
                <w:szCs w:val="22"/>
              </w:rPr>
              <w:t>Consulta por fecha</w:t>
            </w:r>
          </w:p>
          <w:p>
            <w:pPr>
              <w:pStyle w:val="Normal"/>
              <w:rPr/>
            </w:pPr>
            <w:r>
              <w:rPr>
                <w:color w:val="1B2620"/>
                <w:sz w:val="20"/>
                <w:szCs w:val="20"/>
              </w:rPr>
              <w:t>Permite revisar también un día concreto del pasado, por si hace falta comprobar una fecha exacta.</w:t>
            </w:r>
          </w:p>
        </w:tc>
      </w:tr>
      <w:tr>
        <w:trPr/>
        <w:tc>
          <w:tcPr>
            <w:tcW w:w="4652" w:type="dxa"/>
            <w:tcBorders>
              <w:top w:val="single" w:sz="4" w:space="0" w:color="FFFFFF"/>
              <w:right w:val="single" w:sz="4" w:space="0" w:color="FFFFFF"/>
            </w:tcBorders>
            <w:shd w:color="auto" w:fill="F2F5F0" w:val="clear"/>
          </w:tcPr>
          <w:p>
            <w:pPr>
              <w:pStyle w:val="Normal"/>
              <w:spacing w:before="0" w:after="60"/>
              <w:rPr/>
            </w:pPr>
            <w:r>
              <w:rPr>
                <w:sz w:val="24"/>
                <w:szCs w:val="24"/>
              </w:rPr>
              <w:t xml:space="preserve">🔁  </w:t>
            </w:r>
            <w:r>
              <w:rPr>
                <w:rFonts w:eastAsia="Georgia" w:cs="Georgia" w:ascii="Georgia" w:hAnsi="Georgia"/>
                <w:b/>
                <w:bCs/>
                <w:color w:val="1E5E3E"/>
                <w:sz w:val="22"/>
                <w:szCs w:val="22"/>
              </w:rPr>
              <w:t>Sin duplicados</w:t>
            </w:r>
          </w:p>
          <w:p>
            <w:pPr>
              <w:pStyle w:val="Normal"/>
              <w:rPr/>
            </w:pPr>
            <w:r>
              <w:rPr>
                <w:color w:val="1B2620"/>
                <w:sz w:val="20"/>
                <w:szCs w:val="20"/>
              </w:rPr>
              <w:t>El sistema recuerda qué convocatorias ya se han mostrado antes, para no repetir avisos.</w:t>
            </w:r>
          </w:p>
        </w:tc>
        <w:tc>
          <w:tcPr>
            <w:tcW w:w="4653" w:type="dxa"/>
            <w:tcBorders>
              <w:top w:val="single" w:sz="4" w:space="0" w:color="FFFFFF"/>
              <w:left w:val="single" w:sz="4" w:space="0" w:color="FFFFFF"/>
            </w:tcBorders>
            <w:shd w:color="auto" w:fill="F2F5F0" w:val="clear"/>
          </w:tcPr>
          <w:p>
            <w:pPr>
              <w:pStyle w:val="Normal"/>
              <w:spacing w:before="0" w:after="60"/>
              <w:rPr/>
            </w:pPr>
            <w:r>
              <w:rPr>
                <w:sz w:val="24"/>
                <w:szCs w:val="24"/>
              </w:rPr>
              <w:t xml:space="preserve">📄  </w:t>
            </w:r>
            <w:r>
              <w:rPr>
                <w:rFonts w:eastAsia="Georgia" w:cs="Georgia" w:ascii="Georgia" w:hAnsi="Georgia"/>
                <w:b/>
                <w:bCs/>
                <w:color w:val="1E5E3E"/>
                <w:sz w:val="22"/>
                <w:szCs w:val="22"/>
              </w:rPr>
              <w:t>Informe descargable</w:t>
            </w:r>
          </w:p>
          <w:p>
            <w:pPr>
              <w:pStyle w:val="Normal"/>
              <w:rPr/>
            </w:pPr>
            <w:r>
              <w:rPr>
                <w:color w:val="1B2620"/>
                <w:sz w:val="20"/>
                <w:szCs w:val="20"/>
              </w:rPr>
              <w:t>Toda la búsqueda se resume en un documento listo para compartir o archivar.</w:t>
            </w:r>
          </w:p>
        </w:tc>
      </w:tr>
    </w:tbl>
    <w:p>
      <w:pPr>
        <w:pStyle w:val="Normal"/>
        <w:spacing w:before="260" w:after="0"/>
        <w:rPr/>
      </w:pPr>
      <w:r>
        <w:rPr/>
      </w:r>
    </w:p>
    <w:p>
      <w:pPr>
        <w:pStyle w:val="Heading1"/>
        <w:pBdr>
          <w:bottom w:val="single" w:sz="4" w:space="4" w:color="1E5E3E"/>
        </w:pBdr>
        <w:spacing w:before="320" w:after="140"/>
        <w:rPr/>
      </w:pPr>
      <w:r>
        <w:rPr>
          <w:rFonts w:eastAsia="Georgia" w:cs="Georgia" w:ascii="Georgia" w:hAnsi="Georgia"/>
          <w:b/>
          <w:bCs/>
          <w:color w:val="1E5E3E"/>
          <w:sz w:val="28"/>
          <w:szCs w:val="28"/>
        </w:rPr>
        <w:t>¿Cómo funciona por dentro? (explicación técnica breve)</w:t>
      </w:r>
    </w:p>
    <w:p>
      <w:pPr>
        <w:pStyle w:val="Normal"/>
        <w:spacing w:before="0" w:after="160"/>
        <w:rPr/>
      </w:pPr>
      <w:r>
        <w:rPr>
          <w:color w:val="1B2620"/>
          <w:sz w:val="22"/>
          <w:szCs w:val="22"/>
        </w:rPr>
        <w:t>Sin entrar en tecnicismos, el proyecto se apoya en tres piezas que trabajan juntas:</w:t>
      </w:r>
    </w:p>
    <w:p>
      <w:pPr>
        <w:pStyle w:val="ListParagraph"/>
        <w:numPr>
          <w:ilvl w:val="0"/>
          <w:numId w:val="1"/>
        </w:numPr>
        <w:spacing w:before="0" w:after="90"/>
        <w:rPr/>
      </w:pPr>
      <w:r>
        <w:rPr>
          <w:b/>
          <w:bCs/>
          <w:color w:val="1B2620"/>
          <w:sz w:val="22"/>
          <w:szCs w:val="22"/>
        </w:rPr>
        <w:t xml:space="preserve">Recogida de datos. </w:t>
      </w:r>
      <w:r>
        <w:rPr>
          <w:color w:val="1B2620"/>
          <w:sz w:val="22"/>
          <w:szCs w:val="22"/>
        </w:rPr>
        <w:t>Un programa en Python conecta con la fuente oficial del BOE (que ofrece los datos de forma abierta) y rastrea las páginas de DOCM y BOP para extraer el texto de cada publicación.</w:t>
      </w:r>
    </w:p>
    <w:p>
      <w:pPr>
        <w:pStyle w:val="ListParagraph"/>
        <w:numPr>
          <w:ilvl w:val="0"/>
          <w:numId w:val="1"/>
        </w:numPr>
        <w:spacing w:before="0" w:after="90"/>
        <w:rPr/>
      </w:pPr>
      <w:r>
        <w:rPr>
          <w:b/>
          <w:bCs/>
          <w:color w:val="1B2620"/>
          <w:sz w:val="22"/>
          <w:szCs w:val="22"/>
        </w:rPr>
        <w:t xml:space="preserve">Interpretación del contenido. </w:t>
      </w:r>
      <w:r>
        <w:rPr>
          <w:color w:val="1B2620"/>
          <w:sz w:val="22"/>
          <w:szCs w:val="22"/>
        </w:rPr>
        <w:t>Ese texto se analiza con patrones de búsqueda para reconocer fechas de plazo, cuantías económicas y el organismo convocante; si hace falta, se envía a un modelo de inteligencia artificial (Gemini) para generar el resumen en lenguaje natural.</w:t>
      </w:r>
    </w:p>
    <w:p>
      <w:pPr>
        <w:pStyle w:val="ListParagraph"/>
        <w:numPr>
          <w:ilvl w:val="0"/>
          <w:numId w:val="1"/>
        </w:numPr>
        <w:spacing w:before="0" w:after="90"/>
        <w:rPr/>
      </w:pPr>
      <w:r>
        <w:rPr>
          <w:b/>
          <w:bCs/>
          <w:color w:val="1B2620"/>
          <w:sz w:val="22"/>
          <w:szCs w:val="22"/>
        </w:rPr>
        <w:t xml:space="preserve">Presentación y avisos. </w:t>
      </w:r>
      <w:r>
        <w:rPr>
          <w:color w:val="1B2620"/>
          <w:sz w:val="22"/>
          <w:szCs w:val="22"/>
        </w:rPr>
        <w:t xml:space="preserve">Un pequeño servidor web (Flask) muestra los resultados en el navegador y, cuando corresponde, envía </w:t>
      </w:r>
      <w:r>
        <w:rPr>
          <w:color w:val="1B2620"/>
          <w:sz w:val="22"/>
          <w:szCs w:val="22"/>
        </w:rPr>
        <w:t xml:space="preserve">un mensaje mediante Telegram </w:t>
      </w:r>
      <w:r>
        <w:rPr>
          <w:color w:val="1B2620"/>
          <w:sz w:val="22"/>
          <w:szCs w:val="22"/>
        </w:rPr>
        <w:t xml:space="preserve">a través de </w:t>
      </w:r>
      <w:r>
        <w:rPr>
          <w:color w:val="1B2620"/>
          <w:sz w:val="22"/>
          <w:szCs w:val="22"/>
        </w:rPr>
        <w:t>un bot</w:t>
      </w:r>
      <w:r>
        <w:rPr>
          <w:color w:val="1B2620"/>
          <w:sz w:val="22"/>
          <w:szCs w:val="22"/>
        </w:rPr>
        <w:t xml:space="preserve"> configurado.</w:t>
      </w:r>
    </w:p>
    <w:p>
      <w:pPr>
        <w:pStyle w:val="Normal"/>
        <w:spacing w:before="0" w:after="160"/>
        <w:rPr/>
      </w:pPr>
      <w:r>
        <w:rPr>
          <w:color w:val="1B2620"/>
          <w:sz w:val="22"/>
          <w:szCs w:val="22"/>
        </w:rPr>
        <w:t>El resultado es un sistema ligero, que cualquier persona puede usar desde una página web sencilla, aunque por debajo combine varias tecnologías para hacer el trabajo pesado.</w:t>
      </w:r>
    </w:p>
    <w:p>
      <w:pPr>
        <w:pStyle w:val="Heading1"/>
        <w:pBdr>
          <w:bottom w:val="single" w:sz="4" w:space="4" w:color="1E5E3E"/>
        </w:pBdr>
        <w:spacing w:before="320" w:after="140"/>
        <w:rPr/>
      </w:pPr>
      <w:r>
        <w:rPr>
          <w:rFonts w:eastAsia="Georgia" w:cs="Georgia" w:ascii="Georgia" w:hAnsi="Georgia"/>
          <w:b/>
          <w:bCs/>
          <w:color w:val="1E5E3E"/>
          <w:sz w:val="28"/>
          <w:szCs w:val="28"/>
        </w:rPr>
        <w:t>¿Quién puede usarlo?</w:t>
      </w:r>
    </w:p>
    <w:p>
      <w:pPr>
        <w:pStyle w:val="Normal"/>
        <w:spacing w:before="0" w:after="160"/>
        <w:rPr/>
      </w:pPr>
      <w:r>
        <w:rPr>
          <w:color w:val="1B2620"/>
          <w:sz w:val="22"/>
          <w:szCs w:val="22"/>
        </w:rPr>
        <w:t>Está pensado sobre todo para ayuntamientos y diputaciones, pero cualquier entidad que necesite estar al tanto de subvenciones, licitaciones o procesos de empleo público puede aprovecharlo. No hace falta ningún conocimiento técnico para usarlo: basta con abrir la página web, indicar los temas de interés y pulsar «Buscar».</w:t>
      </w:r>
    </w:p>
    <w:p>
      <w:pPr>
        <w:pStyle w:val="Heading1"/>
        <w:pBdr>
          <w:bottom w:val="single" w:sz="4" w:space="4" w:color="1E5E3E"/>
        </w:pBdr>
        <w:spacing w:before="320" w:after="140"/>
        <w:rPr/>
      </w:pPr>
      <w:r>
        <w:rPr>
          <w:rFonts w:eastAsia="Georgia" w:cs="Georgia" w:ascii="Georgia" w:hAnsi="Georgia"/>
          <w:b/>
          <w:bCs/>
          <w:color w:val="1E5E3E"/>
          <w:sz w:val="28"/>
          <w:szCs w:val="28"/>
        </w:rPr>
        <w:t>En resumen</w:t>
      </w:r>
    </w:p>
    <w:p>
      <w:pPr>
        <w:pStyle w:val="Normal"/>
        <w:spacing w:before="0" w:after="160"/>
        <w:rPr/>
      </w:pPr>
      <w:r>
        <w:rPr>
          <w:color w:val="1B2620"/>
          <w:sz w:val="22"/>
          <w:szCs w:val="22"/>
        </w:rPr>
        <w:t>Este proyecto convierte una tarea lenta y manual —vigilar boletines oficiales— en un proceso automático, claro y con avisos a tiempo, ayudando a que los municipios no dejen escapar ninguna oportunidad de financiación o de empleo público por falta de tiempo o de recursos.</w:t>
      </w:r>
    </w:p>
    <w:sectPr>
      <w:type w:val="nextPage"/>
      <w:pgSz w:w="11906" w:h="16838"/>
      <w:pgMar w:left="1300" w:right="1300" w:gutter="0" w:header="0" w:top="1300" w:footer="0" w:bottom="13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Mono">
    <w:charset w:val="00"/>
    <w:family w:val="roman"/>
    <w:pitch w:val="variable"/>
  </w:font>
  <w:font w:name="Georgia">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3"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Unicode MS"/>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Arial Unicode MS"/>
      <w:color w:val="auto"/>
      <w:kern w:val="0"/>
      <w:sz w:val="20"/>
      <w:szCs w:val="20"/>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InternetLink">
    <w:name w:val="Internet Link"/>
    <w:uiPriority w:val="99"/>
    <w:unhideWhenUsed/>
    <w:qFormat/>
    <w:rPr>
      <w:color w:val="0563C1"/>
      <w:u w:val="single"/>
    </w:rPr>
  </w:style>
  <w:style w:type="character" w:styleId="FootnoteReferenc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EndnoteReference">
    <w:name w:val="Endnote Reference"/>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Arial Unicode MS"/>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Times New Roman" w:hAnsi="Times New Roman" w:eastAsia="NSimSun" w:cs="Arial Unicode MS"/>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LibreOffice/24.2.5.2$Windows_X86_64 LibreOffice_project/bffef4ea93e59bebbeaf7f431bb02b1a39ee8a59</Application>
  <AppVersion>15.0000</AppVersion>
  <Pages>3</Pages>
  <Words>664</Words>
  <Characters>3569</Characters>
  <CharactersWithSpaces>4189</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2026-07-09T07:27:32Z</dcterms:created>
  <dc:creator>Un-named</dc:creator>
  <dc:description/>
  <dc:language>es-ES</dc:language>
  <cp:lastModifiedBy/>
  <dcterms:modified xsi:type="dcterms:W3CDTF">2026-07-09T09:31:39Z</dcterms:modified>
  <cp:revision>2</cp:revision>
  <dc:subject/>
  <dc:title/>
</cp:coreProperties>
</file>