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María viajó a Barcelona. La baca del coche estaba sucia.</w:t>
      </w:r>
    </w:p>
    <w:p>
      <w:r>
        <w:t>Luego decidió ojear el libro rápidamente; el paisaje era realmente vello.</w:t>
      </w:r>
    </w:p>
    <w:p>
      <w:r>
        <w:t>Carlos visitó Madrid y quiso hojear la revista de 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