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Founder (51%)</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Partner (7%, joins Year 2)</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German (19%), Daniel (13%), Katherin Oquendo (10%) — Co-Founders</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2026-04-02T18:28:54.075Z</dcterms:created>
  <dcterms:modified xsi:type="dcterms:W3CDTF">2026-04-02T18:28:54.075Z</dcterms:modified>
</cp:coreProperties>
</file>

<file path=docProps/custom.xml><?xml version="1.0" encoding="utf-8"?>
<Properties xmlns="http://schemas.openxmlformats.org/officeDocument/2006/custom-properties" xmlns:vt="http://schemas.openxmlformats.org/officeDocument/2006/docPropsVTypes"/>
</file>