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F3A5F"/>
          <w:sz w:val="34"/>
          <w:szCs w:val="34"/>
        </w:rPr>
        <w:t xml:space="preserve">Informe de auditoría de la base de datos de hormigas arborícolas del Cerrado brasileño</w:t>
      </w:r>
    </w:p>
    <w:p>
      <w:pPr>
        <w:spacing w:after="80"/>
      </w:pPr>
      <w:r>
        <w:rPr>
          <w:rFonts w:ascii="Arial" w:cs="Arial" w:eastAsia="Arial" w:hAnsi="Arial"/>
          <w:color w:val="404040"/>
          <w:sz w:val="22"/>
          <w:szCs w:val="22"/>
        </w:rPr>
        <w:t xml:space="preserve">Datos de Morais et al. (2026) organizados en el formato del taller como opción tropical</w:t>
      </w:r>
    </w:p>
    <w:p>
      <w:pPr>
        <w:pBdr>
          <w:bottom w:val="single" w:color="1F3A5F" w:sz="8" w:space="6"/>
        </w:pBdr>
        <w:spacing w:after="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Diversidad Multidimensional de Comunidades Biológicas en R · OPT_0086 · Programa de Biología, Universidad del Magdalena</w:t>
      </w:r>
    </w:p>
    <w:p>
      <w:pPr>
        <w:spacing w:after="140"/>
      </w:pPr>
      <w:r>
        <w:rPr>
          <w:rFonts w:ascii="Arial" w:cs="Arial" w:eastAsia="Arial" w:hAnsi="Arial"/>
          <w:color w:val="595959"/>
          <w:sz w:val="18"/>
          <w:szCs w:val="18"/>
        </w:rPr>
        <w:t xml:space="preserve">Fecha: 21 de septiembre de 2026 · Documento de apoyo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1. Propósito y fuente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 auditaron cinco archivos de un conjunto de datos de hormigas arborícolas del Cerrado brasileño y se organizaron en un libro de Excel con el diseño de las hojas del caso guiado del curso. Se propone como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opción tropical</w:t>
      </w:r>
      <w:r>
        <w:rPr>
          <w:rFonts w:ascii="Arial" w:cs="Arial" w:eastAsia="Arial" w:hAnsi="Arial"/>
          <w:sz w:val="21"/>
          <w:szCs w:val="21"/>
        </w:rPr>
        <w:t xml:space="preserve"> para el estudio de caso, dada la escasez de matrices con abundancias y rasgos del Caribe colombiano. No es una base del Caribe.</w:t>
      </w:r>
    </w:p>
    <w:p>
      <w:pPr>
        <w:spacing w:after="100" w:line="276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Fuente.</w:t>
      </w:r>
      <w:r>
        <w:rPr>
          <w:rFonts w:ascii="Arial" w:cs="Arial" w:eastAsia="Arial" w:hAnsi="Arial"/>
          <w:sz w:val="21"/>
          <w:szCs w:val="21"/>
        </w:rPr>
        <w:t xml:space="preserve"> Morais, P. N., Camarota, F., Oliveira Sá, E. C. de, Freitas, E. V. D. de, Neves, F., Dáttilo, W., Paolucci, L., Marques, T. y Araújo, W. S. de (2026).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Data from: Functional and phylogenetic responses of arboreal ants to land-use change in Neotropical savannas</w:t>
      </w:r>
      <w:r>
        <w:rPr>
          <w:rFonts w:ascii="Arial" w:cs="Arial" w:eastAsia="Arial" w:hAnsi="Arial"/>
          <w:sz w:val="21"/>
          <w:szCs w:val="21"/>
        </w:rPr>
        <w:t xml:space="preserve"> [Dataset]. Dryad. https://doi.org/10.5061/dryad.8kprr4z3b. El artículo relacionado aparece en el README como «en prensa» en </w:t>
      </w:r>
      <w:r>
        <w:rPr>
          <w:rFonts w:ascii="Arial" w:cs="Arial" w:eastAsia="Arial" w:hAnsi="Arial"/>
          <w:i/>
          <w:iCs/>
          <w:sz w:val="21"/>
          <w:szCs w:val="21"/>
        </w:rPr>
        <w:t xml:space="preserve">Insect Conservation and Diversity</w:t>
      </w:r>
      <w:r>
        <w:rPr>
          <w:rFonts w:ascii="Arial" w:cs="Arial" w:eastAsia="Arial" w:hAnsi="Arial"/>
          <w:sz w:val="21"/>
          <w:szCs w:val="21"/>
        </w:rPr>
        <w:t xml:space="preserve">; solo se dispuso de su resumen. La licencia de uso debe confirmarse en la ficha de Dryad.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2. Diseño del estudio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Sitios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14 remanentes de Cerrado en paisajes preservados (cerrado abierto y cerrado), rurales y urbanos, en tres regiones: Montes Claros, Cabral y Peruaçu.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Especies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Hormigas arborícolas: 50 especies con abundancia en la matriz y 68 con mediciones de rasgos.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Rasgos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Cinco medidas morfológicas de individuos, en mm: longitud del ojo, de la mandíbula, del escapo, de la pata y de Weber. El README indica que las descripciones siguen a Parr et al. (2017).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Archivos auditados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matrix_abundance_FD.csv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matrix_traits_FD.csv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traits_matrix.csv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data_traits.csv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ant_traits_raw_data.xlsx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. No se dispuso de las filogenias (.nex), los scripts de R,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species_metadata.txt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ni las matrices de incidencia y de comunidad.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Ambiente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Solo categorías (región y uso del suelo). Los archivos no traen coordenadas, variables continuas ni esfuerzo de muestreo.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3. Auditoría de los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Aspecto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9E2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Abundancias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50 especies × 14 sitios con 611 individuos, enteros, sin negativos ni especies o sitios vacíos. El 77.4 % son ceros, 16 especies aparecen en un solo sitio y hay 6 singletons y 5 doubletons. La riqueza por sitio va de 5 a 18 y la abundancia, de 13 a 72.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Rasgos individuales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680 individuos de 68 especies (mediana de 5.5 por especie; 24 especies con 1 o 2). Faltan la mandíbula en el 57 % de los individuos, el escapo en el 10 %, la pata en el 7 %, el ojo en el 2 % y la longitud de Weber en el 0.3 %. El Excel y el CSV tienen los mismos valores; el CSV está redondeado a 3 decimales (diferencias hasta 0.0005 mm).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Matrices de rasgos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traits_matrix.csv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 la media de todos los datos disponibles de las 68 especies (con 18 vacíos en mandíbula).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matrix_traits_FD.csv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usa solo individuos con los 5 rasgos completos y deja 50 especies. Ambas se reprodujeron sin diferencias desde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data_traits.csv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pero difieren entre sí en 197 de 250 celdas.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Efecto de la mandíbula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 los 5 rasgos quedan 259 de 680 individuos (38 %), salen 18 especies y 11 de las 50 restantes tienen un solo individuo completo. Sin la mandíbula quedan 569 individuos en las 68 especies y 543 en las 50 de la matriz, con 3 especies de un solo individuo.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Abundancia frente a individuos medidos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De las 50 especies hay 647 individuos medidos y solo 611 en la matriz. En el 28 % de los pares especie × sitio medidos la abundancia es 0, y en el 45 % se midieron más individuos que la abundancia registrada. El README dice que es el número de individuos; podría ser frecuencia de ocurrencia, pero es solo una hipótesis.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Columna Abundance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En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data_traits.csv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 el índice del individuo (1 a 5), no una abundancia, y se repite en 5 pares dentro de un mismo sitio y especie.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Colinealidad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Tras aplicar logaritmo, mandíbula, escapo, pata y longitud de Weber correlacionan entre 0.80 y 0.96, y el primer eje de un PCA explica el 84 %: en la práctica hay uno o dos ejes de tamaño.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Diseño de sitios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Los sitios rurales y urbanos están todos en Montes Claros y los silvestres en Cabral (4) y Peruaçu (3): región y uso del suelo se confunden. Los sufijos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_P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coinciden con Peruaçu y Cabral, y el contraste entre cerrado abierto y cerrado no aparece como variable.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Formato y nombres</w:t>
            </w:r>
          </w:p>
        </w:tc>
        <w:tc>
          <w:tcPr>
            <w:tcW w:type="dxa" w:w="70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/>
            </w:pP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data_traits.csv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usa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;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, BOM, CRLF y encabezados con «(mm)»; los demás usan coma. El Excel tiene otros encabezados (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Code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 el sitio y </w:t>
            </w:r>
            <w:r>
              <w:rPr>
                <w:rFonts w:ascii="Consolas" w:cs="Consolas" w:eastAsia="Consolas" w:hAnsi="Consolas"/>
                <w:sz w:val="16"/>
                <w:szCs w:val="16"/>
              </w:rPr>
              <w:t xml:space="preserve">Area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 el estatus).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Ectatomma tuberculatum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lleva un guion bajo final en el CSV y las matrices, y el género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Pseudomyrmex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está mal escrito en una especie fuera de la matriz. </w:t>
            </w:r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Cephalotes pusilhos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podría ser un error de escritura. 40 de los 50 taxones son morfoespecies.</w:t>
            </w:r>
          </w:p>
        </w:tc>
      </w:tr>
    </w:tbl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4. Organización realizada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tax, coord y amb.</w:t>
      </w:r>
      <w:r>
        <w:rPr>
          <w:rFonts w:ascii="Arial" w:cs="Arial" w:eastAsia="Arial" w:hAnsi="Arial"/>
          <w:sz w:val="21"/>
          <w:szCs w:val="21"/>
        </w:rPr>
        <w:t xml:space="preserve"> Matriz de 14 sitios × 50 especies con las abundancias originales (verificadas sin diferencias). </w:t>
      </w:r>
      <w:r>
        <w:rPr>
          <w:rFonts w:ascii="Consolas" w:cs="Consolas" w:eastAsia="Consolas" w:hAnsi="Consolas"/>
          <w:sz w:val="19"/>
          <w:szCs w:val="19"/>
        </w:rPr>
        <w:t xml:space="preserve">Sites1</w:t>
      </w:r>
      <w:r>
        <w:rPr>
          <w:rFonts w:ascii="Arial" w:cs="Arial" w:eastAsia="Arial" w:hAnsi="Arial"/>
          <w:sz w:val="21"/>
          <w:szCs w:val="21"/>
        </w:rPr>
        <w:t xml:space="preserve"> es el uso del suelo (Wild, Rural, Urban) y </w:t>
      </w:r>
      <w:r>
        <w:rPr>
          <w:rFonts w:ascii="Consolas" w:cs="Consolas" w:eastAsia="Consolas" w:hAnsi="Consolas"/>
          <w:sz w:val="19"/>
          <w:szCs w:val="19"/>
        </w:rPr>
        <w:t xml:space="preserve">Zone2</w:t>
      </w:r>
      <w:r>
        <w:rPr>
          <w:rFonts w:ascii="Arial" w:cs="Arial" w:eastAsia="Arial" w:hAnsi="Arial"/>
          <w:sz w:val="21"/>
          <w:szCs w:val="21"/>
        </w:rPr>
        <w:t xml:space="preserve">, la región. </w:t>
      </w:r>
      <w:r>
        <w:rPr>
          <w:rFonts w:ascii="Consolas" w:cs="Consolas" w:eastAsia="Consolas" w:hAnsi="Consolas"/>
          <w:sz w:val="19"/>
          <w:szCs w:val="19"/>
        </w:rPr>
        <w:t xml:space="preserve">coord</w:t>
      </w:r>
      <w:r>
        <w:rPr>
          <w:rFonts w:ascii="Arial" w:cs="Arial" w:eastAsia="Arial" w:hAnsi="Arial"/>
          <w:sz w:val="21"/>
          <w:szCs w:val="21"/>
        </w:rPr>
        <w:t xml:space="preserve"> tiene las columnas de longitud y latitud vacías, porque los archivos no las publican.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rasgos.</w:t>
      </w:r>
      <w:r>
        <w:rPr>
          <w:rFonts w:ascii="Arial" w:cs="Arial" w:eastAsia="Arial" w:hAnsi="Arial"/>
          <w:sz w:val="21"/>
          <w:szCs w:val="21"/>
        </w:rPr>
        <w:t xml:space="preserve"> Longitud del ojo, del escapo, de la pata y de Weber (mm), como media de los individuos con esos 4 rasgos completos, más el número de individuos usado. Se dejó fuera la mandíbula porque falta en el 57 % de los individuos. La subfamilia se añadió por género con la clasificación estándar y debe validarse con </w:t>
      </w:r>
      <w:r>
        <w:rPr>
          <w:rFonts w:ascii="Consolas" w:cs="Consolas" w:eastAsia="Consolas" w:hAnsi="Consolas"/>
          <w:sz w:val="19"/>
          <w:szCs w:val="19"/>
        </w:rPr>
        <w:t xml:space="preserve">species_metadata.txt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rasgos_extra.</w:t>
      </w:r>
      <w:r>
        <w:rPr>
          <w:rFonts w:ascii="Arial" w:cs="Arial" w:eastAsia="Arial" w:hAnsi="Arial"/>
          <w:sz w:val="21"/>
          <w:szCs w:val="21"/>
        </w:rPr>
        <w:t xml:space="preserve"> Mandíbula (media de los datos disponibles), número de individuos por versión y la matriz de los autores con 5 rasgos (sufijo </w:t>
      </w:r>
      <w:r>
        <w:rPr>
          <w:rFonts w:ascii="Consolas" w:cs="Consolas" w:eastAsia="Consolas" w:hAnsi="Consolas"/>
          <w:sz w:val="19"/>
          <w:szCs w:val="19"/>
        </w:rPr>
        <w:t xml:space="preserve">_FD</w:t>
      </w:r>
      <w:r>
        <w:rPr>
          <w:rFonts w:ascii="Arial" w:cs="Arial" w:eastAsia="Arial" w:hAnsi="Arial"/>
          <w:sz w:val="21"/>
          <w:szCs w:val="21"/>
        </w:rPr>
        <w:t xml:space="preserve">), reproducida sin diferencias.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Hojas rasgos_individuos y nombres.</w:t>
      </w:r>
      <w:r>
        <w:rPr>
          <w:rFonts w:ascii="Arial" w:cs="Arial" w:eastAsia="Arial" w:hAnsi="Arial"/>
          <w:sz w:val="21"/>
          <w:szCs w:val="21"/>
        </w:rPr>
        <w:t xml:space="preserve"> Las 680 mediciones con nombres limpios y marcas de individuos completos, y la correspondencia de nombres de las 68 especies.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Hoja notas.</w:t>
      </w:r>
      <w:r>
        <w:rPr>
          <w:rFonts w:ascii="Arial" w:cs="Arial" w:eastAsia="Arial" w:hAnsi="Arial"/>
          <w:sz w:val="21"/>
          <w:szCs w:val="21"/>
        </w:rPr>
        <w:t xml:space="preserve"> Fuentes, criterios, advertencias y verificaciones calculadas con fórmulas.</w:t>
      </w:r>
    </w:p>
    <w:p>
      <w:pPr>
        <w:spacing w:after="100" w:line="276"/>
      </w:pPr>
      <w:r>
        <w:rPr>
          <w:rFonts w:ascii="Arial" w:cs="Arial" w:eastAsia="Arial" w:hAnsi="Arial"/>
          <w:sz w:val="21"/>
          <w:szCs w:val="21"/>
        </w:rPr>
        <w:t xml:space="preserve">Se verificó que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tengan las mismas especies en el mismo orden, que los sitios coincidan en </w:t>
      </w:r>
      <w:r>
        <w:rPr>
          <w:rFonts w:ascii="Consolas" w:cs="Consolas" w:eastAsia="Consolas" w:hAnsi="Consolas"/>
          <w:sz w:val="19"/>
          <w:szCs w:val="19"/>
        </w:rPr>
        <w:t xml:space="preserve">tax</w:t>
      </w:r>
      <w:r>
        <w:rPr>
          <w:rFonts w:ascii="Arial" w:cs="Arial" w:eastAsia="Arial" w:hAnsi="Arial"/>
          <w:sz w:val="21"/>
          <w:szCs w:val="21"/>
        </w:rPr>
        <w:t xml:space="preserve">, </w:t>
      </w:r>
      <w:r>
        <w:rPr>
          <w:rFonts w:ascii="Consolas" w:cs="Consolas" w:eastAsia="Consolas" w:hAnsi="Consolas"/>
          <w:sz w:val="19"/>
          <w:szCs w:val="19"/>
        </w:rPr>
        <w:t xml:space="preserve">coord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amb</w:t>
      </w:r>
      <w:r>
        <w:rPr>
          <w:rFonts w:ascii="Arial" w:cs="Arial" w:eastAsia="Arial" w:hAnsi="Arial"/>
          <w:sz w:val="21"/>
          <w:szCs w:val="21"/>
        </w:rPr>
        <w:t xml:space="preserve">, que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se reproduzca desde las mediciones individuales y que no haya vacíos en </w:t>
      </w:r>
      <w:r>
        <w:rPr>
          <w:rFonts w:ascii="Consolas" w:cs="Consolas" w:eastAsia="Consolas" w:hAnsi="Consolas"/>
          <w:sz w:val="19"/>
          <w:szCs w:val="19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F3A5F"/>
          <w:sz w:val="26"/>
          <w:szCs w:val="26"/>
        </w:rPr>
        <w:t xml:space="preserve">5. Limitaciones y precauciones de uso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No es del Caribe.</w:t>
      </w:r>
      <w:r>
        <w:rPr>
          <w:rFonts w:ascii="Arial" w:cs="Arial" w:eastAsia="Arial" w:hAnsi="Arial"/>
          <w:sz w:val="21"/>
          <w:szCs w:val="21"/>
        </w:rPr>
        <w:t xml:space="preserve"> Es una opción tropical de Cerrado brasileño, útil para practicar el flujo con abundancias y rasgos reales.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Son solo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14 sitios</w:t>
      </w:r>
      <w:r>
        <w:rPr>
          <w:rFonts w:ascii="Arial" w:cs="Arial" w:eastAsia="Arial" w:hAnsi="Arial"/>
          <w:sz w:val="21"/>
          <w:szCs w:val="21"/>
        </w:rPr>
        <w:t xml:space="preserve">, con región y uso del suelo confundidos, sin coordenadas ni esfuerzo de muestreo. El contraste entre cerrado abierto y cerrado no puede reconstruirse con los archivos.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El significado de 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abundancia</w:t>
      </w:r>
      <w:r>
        <w:rPr>
          <w:rFonts w:ascii="Arial" w:cs="Arial" w:eastAsia="Arial" w:hAnsi="Arial"/>
          <w:sz w:val="21"/>
          <w:szCs w:val="21"/>
        </w:rPr>
        <w:t xml:space="preserve"> debe confirmarse con los autores: los individuos medidos superan a los registrados en casi la mitad de los pares especie × sitio.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Los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rasgos</w:t>
      </w:r>
      <w:r>
        <w:rPr>
          <w:rFonts w:ascii="Arial" w:cs="Arial" w:eastAsia="Arial" w:hAnsi="Arial"/>
          <w:sz w:val="21"/>
          <w:szCs w:val="21"/>
        </w:rPr>
        <w:t xml:space="preserve"> son solo morfológicos y muy correlacionados. Las medias por especie se basan en pocos individuos (mediana de 8.5) y se pierde la variación intraespecífica.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La </w:t>
      </w:r>
      <w:r>
        <w:rPr>
          <w:rFonts w:ascii="Arial" w:cs="Arial" w:eastAsia="Arial" w:hAnsi="Arial"/>
          <w:b/>
          <w:bCs/>
          <w:sz w:val="21"/>
          <w:szCs w:val="21"/>
        </w:rPr>
        <w:t xml:space="preserve">filogenia</w:t>
      </w:r>
      <w:r>
        <w:rPr>
          <w:rFonts w:ascii="Arial" w:cs="Arial" w:eastAsia="Arial" w:hAnsi="Arial"/>
          <w:sz w:val="21"/>
          <w:szCs w:val="21"/>
        </w:rPr>
        <w:t xml:space="preserve"> no se incluyó: los archivos .nex de Dryad no se descargaron ni se auditaron, por lo que la dimensión filogenética queda fuera de este libro.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Arial" w:cs="Arial" w:eastAsia="Arial" w:hAnsi="Arial"/>
          <w:sz w:val="21"/>
          <w:szCs w:val="21"/>
        </w:rPr>
        <w:t xml:space="preserve">Quedan por confirmar la licencia, el significado de </w:t>
      </w:r>
      <w:r>
        <w:rPr>
          <w:rFonts w:ascii="Consolas" w:cs="Consolas" w:eastAsia="Consolas" w:hAnsi="Consolas"/>
          <w:sz w:val="19"/>
          <w:szCs w:val="19"/>
        </w:rPr>
        <w:t xml:space="preserve">_A</w:t>
      </w:r>
      <w:r>
        <w:rPr>
          <w:rFonts w:ascii="Arial" w:cs="Arial" w:eastAsia="Arial" w:hAnsi="Arial"/>
          <w:sz w:val="21"/>
          <w:szCs w:val="21"/>
        </w:rPr>
        <w:t xml:space="preserve"> y </w:t>
      </w:r>
      <w:r>
        <w:rPr>
          <w:rFonts w:ascii="Consolas" w:cs="Consolas" w:eastAsia="Consolas" w:hAnsi="Consolas"/>
          <w:sz w:val="19"/>
          <w:szCs w:val="19"/>
        </w:rPr>
        <w:t xml:space="preserve">_P</w:t>
      </w:r>
      <w:r>
        <w:rPr>
          <w:rFonts w:ascii="Arial" w:cs="Arial" w:eastAsia="Arial" w:hAnsi="Arial"/>
          <w:sz w:val="21"/>
          <w:szCs w:val="21"/>
        </w:rPr>
        <w:t xml:space="preserve">, la validez de algunos nombres y la subfamilia añadida. Los autores figuran con contacto en la ficha de Dryad. La auditoría se hizo con una réplica en Python y no se ejecutó código en R.</w:t>
      </w:r>
    </w:p>
    <w:sectPr>
      <w:headerReference w:type="default" r:id="rId7"/>
      <w:footerReference w:type="default" r:id="rId8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Txt"/>
      <w:jc w:val="center"/>
    </w:pPr>
    <w:r>
      <w:rPr>
        <w:rFonts w:ascii="Arial" w:cs="Arial" w:eastAsia="Arial" w:hAnsi="Arial"/>
        <w:color w:val="7F7F7F"/>
        <w:sz w:val="16"/>
        <w:szCs w:val="16"/>
      </w:rPr>
      <w:t xml:space="preserve">Página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7F7F7F"/>
        <w:sz w:val="16"/>
        <w:szCs w:val="16"/>
      </w:rPr>
      <w:t xml:space="preserve"> de </w:t>
    </w:r>
    <w:r>
      <w:rPr>
        <w:rFonts w:ascii="Arial" w:cs="Arial" w:eastAsia="Arial" w:hAnsi="Arial"/>
        <w:color w:val="7F7F7F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7F7F7F"/>
        <w:sz w:val="16"/>
        <w:szCs w:val="16"/>
      </w:rPr>
      <w:t xml:space="preserve">Auditoría de la base de hormigas arborícolas del Cerrado · OPT_0086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FooterTxt">
    <w:name w:val="Footer Txt"/>
    <w:basedOn w:val="Normal"/>
    <w:rPr>
      <w:rFonts w:ascii="Arial" w:cs="Arial" w:eastAsia="Arial" w:hAnsi="Arial"/>
      <w:color w:val="7F7F7F"/>
      <w:sz w:val="16"/>
      <w:szCs w:val="16"/>
    </w:rPr>
  </w:style>
  <w:style w:type="paragraph" w:styleId="Heading1">
    <w:name w:val="Heading 1"/>
    <w:basedOn w:val="Normal"/>
    <w:next w:val="Normal"/>
    <w:qFormat/>
    <w:pPr>
      <w:spacing w:after="120" w:before="26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de auditoría de la base de hormigas arborícolas del Cerrado brasileño</dc:title>
  <dc:creator>Diversidad Multidimensional OPT_0086</dc:creator>
  <cp:lastModifiedBy>Un-named</cp:lastModifiedBy>
  <cp:revision>1</cp:revision>
  <dcterms:created xsi:type="dcterms:W3CDTF">2026-09-21T03:06:52.164Z</dcterms:created>
  <dcterms:modified xsi:type="dcterms:W3CDTF">2026-09-21T03:06:52.171Z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