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Informe de auditoría de bases de datos para estudios de caso en el Caribe colombiano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Rasgos de peces arrecifales (Quimbayo et al., 2021) y abundancias de megafauna bentónica (Vides, 2011), organizados en el formato del taller</w:t>
      </w:r>
    </w:p>
    <w:p>
      <w:pPr>
        <w:pBdr>
          <w:bottom w:val="single" w:color="1F3A5F" w:sz="8" w:space="6"/>
        </w:pBd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Diversidad Multidimensional de Comunidades Biológicas en R · OPT_0086 · Programa de Biología, Universidad del Magdalena</w:t>
      </w:r>
    </w:p>
    <w:p>
      <w:pPr>
        <w:spacing w:after="1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Fecha: 20 de septiembre de 2026 · Documento de apoyo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Propósito y fuentes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auditaron dos bases de datos y se cruzaron para ofrecer un subconjunto ya preparado de peces del Caribe colombiano: (a) la base de rasgos de peces arrecifales de Quimbayo et al. (2021) y (b) la matriz de abundancias de megafauna bentónica de Vides (2011). El resultado se entrega en un libro de Excel con el diseño de las hojas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 del caso guiado del curso.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Rasgos.</w:t>
      </w:r>
      <w:r>
        <w:rPr>
          <w:rFonts w:ascii="Arial" w:cs="Arial" w:eastAsia="Arial" w:hAnsi="Arial"/>
          <w:sz w:val="21"/>
          <w:szCs w:val="21"/>
        </w:rPr>
        <w:t xml:space="preserve"> Quimbayo, J.P., Silva, F.C., Mendes, T.C., Ferrari, D.S., Danielski, S.L., Bender, M.G., Parravicini, V., Kulbicki, M. y Floeter, S.R. (2021). Life-history traits, geographical range, and conservation aspects of reef fishes from the Atlantic and Eastern Pacific.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Ecology</w:t>
      </w:r>
      <w:r>
        <w:rPr>
          <w:rFonts w:ascii="Arial" w:cs="Arial" w:eastAsia="Arial" w:hAnsi="Arial"/>
          <w:sz w:val="21"/>
          <w:szCs w:val="21"/>
        </w:rPr>
        <w:t xml:space="preserve">, 102(5), e03298. doi:10.1002/ecy.3298. Datos en Zenodo, doi:10.5281/zenodo.4455016 (licencia indicada en Zenodo: «Other (Open)»).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Abundancias.</w:t>
      </w:r>
      <w:r>
        <w:rPr>
          <w:rFonts w:ascii="Arial" w:cs="Arial" w:eastAsia="Arial" w:hAnsi="Arial"/>
          <w:sz w:val="21"/>
          <w:szCs w:val="21"/>
        </w:rPr>
        <w:t xml:space="preserve"> Vides, M.P. (2011). Distribución de la megafauna bentónica del Caribe colombiano asociada a variables ambientales del fondo marino.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Boletín de Investigaciones Marinas y Costeras</w:t>
      </w:r>
      <w:r>
        <w:rPr>
          <w:rFonts w:ascii="Arial" w:cs="Arial" w:eastAsia="Arial" w:hAnsi="Arial"/>
          <w:sz w:val="21"/>
          <w:szCs w:val="21"/>
        </w:rPr>
        <w:t xml:space="preserve">, 40(2), 249–270. Datos de INVEMAR (expediciones Macrofauna I y II y ANH I), usados con autorización, según lo informado por el docente; el texto de créditos debe confirmarse con la institución.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Auditoría de la base de rasgos (Quimbayo et al., 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2 198 especies × 63 columnas, todas de la clase Actinopterygii. 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(separador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coma decimal) y 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.txt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(tabulador) tienen el mismo contenido. Los nombres científicos no tienen duplicados ni espacios extra.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Vacíos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 especies sin nivel trófico y 153 sin dieta (2 sin ninguno de los dos). En los rasgos adicionales, la relación de aspecto de la aleta caudal tiene 43 % de vacíos entre las 2 020 especies del núcleo, y el resto de rasgos entre 0 y 8 %.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Errores de forma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celdas con mayúscula inicial errónea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Size_group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Bottom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Level_water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se corrigieron.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Dieta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única categoría por especie, con siete códigos de dos letras. La correspondencia con las categorías del manuscrito se infirió de sus definiciones y de especies conocidas.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peces asociados a arrecifes; no incluye especies dulceacuícolas ni estuarinas típicas. Es una lista de rasgos por especie, sin abundancias por sitio.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Organización realizada.</w:t>
      </w:r>
      <w:r>
        <w:rPr>
          <w:rFonts w:ascii="Arial" w:cs="Arial" w:eastAsia="Arial" w:hAnsi="Arial"/>
          <w:sz w:val="21"/>
          <w:szCs w:val="21"/>
        </w:rPr>
        <w:t xml:space="preserve"> La hoja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reúne 2 020 de las 2 198 especies, con nivel trófico y dieta completos y el diseño del caso guiado (</w:t>
      </w:r>
      <w:r>
        <w:rPr>
          <w:rFonts w:ascii="Consolas" w:cs="Consolas" w:eastAsia="Consolas" w:hAnsi="Consolas"/>
          <w:sz w:val="19"/>
          <w:szCs w:val="19"/>
        </w:rPr>
        <w:t xml:space="preserve">Abrev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LatinName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Family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Guild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TrophicLevel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BodyLengthMax</w:t>
      </w:r>
      <w:r>
        <w:rPr>
          <w:rFonts w:ascii="Arial" w:cs="Arial" w:eastAsia="Arial" w:hAnsi="Arial"/>
          <w:sz w:val="21"/>
          <w:szCs w:val="21"/>
        </w:rPr>
        <w:t xml:space="preserve"> en cm y dieta binaria con una sola categoría por especie). Las 178 restantes se excluyeron sin rellenarlas con ceros. Se fusionaron </w:t>
      </w:r>
      <w:r>
        <w:rPr>
          <w:rFonts w:ascii="Consolas" w:cs="Consolas" w:eastAsia="Consolas" w:hAnsi="Consolas"/>
          <w:sz w:val="19"/>
          <w:szCs w:val="19"/>
        </w:rPr>
        <w:t xml:space="preserve">hd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hm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herbivory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im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is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invertivory</w:t>
      </w:r>
      <w:r>
        <w:rPr>
          <w:rFonts w:ascii="Arial" w:cs="Arial" w:eastAsia="Arial" w:hAnsi="Arial"/>
          <w:sz w:val="21"/>
          <w:szCs w:val="21"/>
        </w:rPr>
        <w:t xml:space="preserve">, y se agregó </w:t>
      </w:r>
      <w:r>
        <w:rPr>
          <w:rFonts w:ascii="Consolas" w:cs="Consolas" w:eastAsia="Consolas" w:hAnsi="Consolas"/>
          <w:sz w:val="19"/>
          <w:szCs w:val="19"/>
        </w:rPr>
        <w:t xml:space="preserve">planktivory</w:t>
      </w:r>
      <w:r>
        <w:rPr>
          <w:rFonts w:ascii="Arial" w:cs="Arial" w:eastAsia="Arial" w:hAnsi="Arial"/>
          <w:sz w:val="21"/>
          <w:szCs w:val="21"/>
        </w:rPr>
        <w:t xml:space="preserve">. La base no trae nombre común, longitud típica ni factor de forma, ni las categorías </w:t>
      </w:r>
      <w:r>
        <w:rPr>
          <w:rFonts w:ascii="Consolas" w:cs="Consolas" w:eastAsia="Consolas" w:hAnsi="Consolas"/>
          <w:sz w:val="19"/>
          <w:szCs w:val="19"/>
        </w:rPr>
        <w:t xml:space="preserve">detritivory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carnivory</w:t>
      </w:r>
      <w:r>
        <w:rPr>
          <w:rFonts w:ascii="Arial" w:cs="Arial" w:eastAsia="Arial" w:hAnsi="Arial"/>
          <w:sz w:val="21"/>
          <w:szCs w:val="21"/>
        </w:rPr>
        <w:t xml:space="preserve">; no se inventaron valores.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Auditoría de la matriz de abundancias (Vides, 2011)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96 estaciones con coordenadas, campaña, ecorregión, región, profundidad (19.5–920 m) y variables ambientales. Hoja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1 396 taxones × 91 estaciones, con conteos enteros y sin celdas vacías. Cinco estaciones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 tienen datos biológicos (E6, E40, E55, E69 y E73). Grupos: moluscos 478, peces 322, crustáceos 272, equinodermos 191 y cnidarios 133.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con el artículo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Tras quitar 48 filas sin ningún registro quedan 1 348 filas con datos, cercano a las 1 347 especies que reporta el artículo.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Códigos de estación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fila 2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 una fórmula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RIGHT(C1,3)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que produce códigos con espacio inicial en 8 estaciones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E1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E9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frente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Puede desalinear las hojas sin aviso. La columna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Estación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repite códigos entre campañas; se usa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E96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como clave.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 nombres con espacios extra, 294 filas de morfoespecies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y dos nombres duplicados tras limpiar (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Epizoanthus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sp. y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Calliostoma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sp.).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Variables ambientales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Son estimaciones de modelos globales cercanas al fondo, según el artículo, y están muy correlacionadas con la profundidad (temperatura r = −0.94, salinidad −0.89, oxígeno −0.78). Las unidades no están documentadas; el encabezado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O2%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 coincide con los valores, que corresponden a ml/L según la Figura 2 del artículo (por confirmar).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Peces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315 taxones con datos y 10 869 individuos. Hay peces en las 91 estaciones, con una mediana de 19 especies por estación. La matriz es dispersa: 5.9 % de celdas con datos, y 104 de las 315 especies aparecen en una sola estación.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Cruce con la base de rasgos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El cruce se hizo por nombre científico (peces identificados a nivel de especie). La cobertura depende de la profundidad, porque la base de Quimbayo describe peces arrecifales, mientras que las capturas de Vides son de fondo blando y talud (mediana de 295 m en las 91 estaciones con datos biológicos).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500"/>
        <w:gridCol w:w="1500"/>
        <w:gridCol w:w="1660"/>
        <w:gridCol w:w="1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Estaciones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Especies presentes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 rasgos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Individuos cubiertos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Mediana de especies con rasgos por estación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100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 (54 %)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54.6 %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300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 (36 %)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32.1 %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 (32 %)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Por debajo de 300 m prácticamente no hay especies con rasgos. Por eso el cruce solo es viable en las estaciones someras (≤ 100 m).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Variantes de nombre.</w:t>
      </w:r>
      <w:r>
        <w:rPr>
          <w:rFonts w:ascii="Arial" w:cs="Arial" w:eastAsia="Arial" w:hAnsi="Arial"/>
          <w:sz w:val="21"/>
          <w:szCs w:val="21"/>
        </w:rPr>
        <w:t xml:space="preserve"> La comparación aproximada de nombres dentro de un mismo género detectó cinco candidatos: tres son errores de escritura de la misma especie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Pristipomoides aquilionaris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Acanthostracion poligonius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Scorpaena agassizi</w:t>
      </w:r>
      <w:r>
        <w:rPr>
          <w:rFonts w:ascii="Arial" w:cs="Arial" w:eastAsia="Arial" w:hAnsi="Arial"/>
          <w:sz w:val="21"/>
          <w:szCs w:val="21"/>
        </w:rPr>
        <w:t xml:space="preserve">) y dos son falsos positivos, porque son especies distintas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Epinephelus niveatus</w:t>
      </w:r>
      <w:r>
        <w:rPr>
          <w:rFonts w:ascii="Arial" w:cs="Arial" w:eastAsia="Arial" w:hAnsi="Arial"/>
          <w:sz w:val="21"/>
          <w:szCs w:val="21"/>
        </w:rPr>
        <w:t xml:space="preserve"> frente 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E. striatus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Gymnothorax conspersus</w:t>
      </w:r>
      <w:r>
        <w:rPr>
          <w:rFonts w:ascii="Arial" w:cs="Arial" w:eastAsia="Arial" w:hAnsi="Arial"/>
          <w:sz w:val="21"/>
          <w:szCs w:val="21"/>
        </w:rPr>
        <w:t xml:space="preserve"> frente 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G. obesus</w:t>
      </w:r>
      <w:r>
        <w:rPr>
          <w:rFonts w:ascii="Arial" w:cs="Arial" w:eastAsia="Arial" w:hAnsi="Arial"/>
          <w:sz w:val="21"/>
          <w:szCs w:val="21"/>
        </w:rPr>
        <w:t xml:space="preserve">). Los sinónimos taxonómicos requieren una base de referencia, como WoRMS.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Subconjunto preparado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tax.</w:t>
      </w:r>
      <w:r>
        <w:rPr>
          <w:rFonts w:ascii="Arial" w:cs="Arial" w:eastAsia="Arial" w:hAnsi="Arial"/>
          <w:sz w:val="21"/>
          <w:szCs w:val="21"/>
        </w:rPr>
        <w:t xml:space="preserve"> 22 estaciones × 75 especies (1 762 individuos): las especies con rasgos, en el mismo orden que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Sites1</w:t>
      </w:r>
      <w:r>
        <w:rPr>
          <w:rFonts w:ascii="Arial" w:cs="Arial" w:eastAsia="Arial" w:hAnsi="Arial"/>
          <w:sz w:val="21"/>
          <w:szCs w:val="21"/>
        </w:rPr>
        <w:t xml:space="preserve"> es la región (N = 11, S = 7, M =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rasgos y rasgos_extra.</w:t>
      </w:r>
      <w:r>
        <w:rPr>
          <w:rFonts w:ascii="Arial" w:cs="Arial" w:eastAsia="Arial" w:hAnsi="Arial"/>
          <w:sz w:val="21"/>
          <w:szCs w:val="21"/>
        </w:rPr>
        <w:t xml:space="preserve"> Rasgos de esas 75 especies, con una sola categoría de dieta por especie: invertivory 49, piscivory 16, planktivory 7, omnivory 2 y herbivory 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coord y amb.</w:t>
      </w:r>
      <w:r>
        <w:rPr>
          <w:rFonts w:ascii="Arial" w:cs="Arial" w:eastAsia="Arial" w:hAnsi="Arial"/>
          <w:sz w:val="21"/>
          <w:szCs w:val="21"/>
        </w:rPr>
        <w:t xml:space="preserve"> Coordenadas, estación original, campaña, año y profundidad; zonas, estrato de profundidad (20m: 11 estaciones; 70m: 11 estaciones) y variables ambientales. Mismo orden de estaciones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tax_completa.</w:t>
      </w:r>
      <w:r>
        <w:rPr>
          <w:rFonts w:ascii="Arial" w:cs="Arial" w:eastAsia="Arial" w:hAnsi="Arial"/>
          <w:sz w:val="21"/>
          <w:szCs w:val="21"/>
        </w:rPr>
        <w:t xml:space="preserve"> 22 × 149 taxones (136 especies y 13 morfoespecies; 3 323 individuos), con todos los peces de estas estaciones.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conserva el 53 % de los individuos, por lo que la diversidad taxonómica debe calcularse con esta hoja.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nombres y notas.</w:t>
      </w:r>
      <w:r>
        <w:rPr>
          <w:rFonts w:ascii="Arial" w:cs="Arial" w:eastAsia="Arial" w:hAnsi="Arial"/>
          <w:sz w:val="21"/>
          <w:szCs w:val="21"/>
        </w:rPr>
        <w:t xml:space="preserve"> Cruce de nombres (73 con rasgos por nombre exacto, 2 por variante corregida, 61 sin rasgos y 13 morfoespecies) y documentación de fuentes, criterios y advertencias.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Criterios.</w:t>
      </w:r>
      <w:r>
        <w:rPr>
          <w:rFonts w:ascii="Arial" w:cs="Arial" w:eastAsia="Arial" w:hAnsi="Arial"/>
          <w:sz w:val="21"/>
          <w:szCs w:val="21"/>
        </w:rPr>
        <w:t xml:space="preserve"> Se seleccionaron las 22 estaciones con profundidad ≤ 100 m y datos biológicos, todas de la campaña Macrofauna II (2001); la estación E73 (89 m) no tiene datos biológicos. Se corrigieron dos variantes ortográficas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Pristipomoides aquilionaris</w:t>
      </w:r>
      <w:r>
        <w:rPr>
          <w:rFonts w:ascii="Arial" w:cs="Arial" w:eastAsia="Arial" w:hAnsi="Arial"/>
          <w:sz w:val="21"/>
          <w:szCs w:val="21"/>
        </w:rPr>
        <w:t xml:space="preserve"> 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aquilonaris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Acanthostracion poligonius</w:t>
      </w:r>
      <w:r>
        <w:rPr>
          <w:rFonts w:ascii="Arial" w:cs="Arial" w:eastAsia="Arial" w:hAnsi="Arial"/>
          <w:sz w:val="21"/>
          <w:szCs w:val="21"/>
        </w:rPr>
        <w:t xml:space="preserve"> 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polygonius</w:t>
      </w:r>
      <w:r>
        <w:rPr>
          <w:rFonts w:ascii="Arial" w:cs="Arial" w:eastAsia="Arial" w:hAnsi="Arial"/>
          <w:sz w:val="21"/>
          <w:szCs w:val="21"/>
        </w:rPr>
        <w:t xml:space="preserve">; la tercera no aparece en estas estaciones). Se verificó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tengan las mismas especies en el mismo orden, que las estaciones coincidan en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, y que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no tenga vacíos.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6. Limitaciones y precauciones de uso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rasgos son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 escala de especie</w:t>
      </w:r>
      <w:r>
        <w:rPr>
          <w:rFonts w:ascii="Arial" w:cs="Arial" w:eastAsia="Arial" w:hAnsi="Arial"/>
          <w:sz w:val="21"/>
          <w:szCs w:val="21"/>
        </w:rPr>
        <w:t xml:space="preserve">, no locales, y provienen de una compilación de listas regionales, repositorios en línea, informes y monografías. Las abundancias son capturas de arrastres demersales (dos arrastres de 10 min por sitio, según el protocolo del artículo); cada sitio se muestreó una vez y las estaciones no son réplicas.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dieta varía poco en el subconjunto: 49 de las 75 especies son invertívoras. La talla máxima está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centímetros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variables ambientales no son mediciones independientes por estación, y con 22 estaciones el tamaño muestral es modesto.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clasificaciones tróficas cambian según la fuente y el criterio; el esquema usado debe declararse en el análisis.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Quedan por validar la correspondencia de los códigos de dieta, la interpretación de </w:t>
      </w:r>
      <w:r>
        <w:rPr>
          <w:rFonts w:ascii="Consolas" w:cs="Consolas" w:eastAsia="Consolas" w:hAnsi="Consolas"/>
          <w:sz w:val="19"/>
          <w:szCs w:val="19"/>
        </w:rPr>
        <w:t xml:space="preserve">Province_12</w:t>
      </w:r>
      <w:r>
        <w:rPr>
          <w:rFonts w:ascii="Arial" w:cs="Arial" w:eastAsia="Arial" w:hAnsi="Arial"/>
          <w:sz w:val="21"/>
          <w:szCs w:val="21"/>
        </w:rPr>
        <w:t xml:space="preserve"> (Atlántico Noroccidental tropical), las variantes ortográficas con una base taxonómica y las unidades de las variables ambientales.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auditoría se hizo con una réplica en Python y no se ejecutó código en R.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xt"/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Auditoría de bases de datos para estudios de caso · OPT_0086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xt">
    <w:name w:val="Footer Txt"/>
    <w:basedOn w:val="Normal"/>
    <w:rPr>
      <w:rFonts w:ascii="Arial" w:cs="Arial" w:eastAsia="Arial" w:hAnsi="Arial"/>
      <w:color w:val="7F7F7F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bases de datos para estudios de caso</dc:title>
  <dc:creator>Diversidad Multidimensional OPT_0086</dc:creator>
  <cp:lastModifiedBy>Un-named</cp:lastModifiedBy>
  <cp:revision>1</cp:revision>
  <dcterms:created xsi:type="dcterms:W3CDTF">2026-09-20T22:51:38.352Z</dcterms:created>
  <dcterms:modified xsi:type="dcterms:W3CDTF">2026-09-20T22:51:38.359Z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