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Informe de auditoría de la base de datos de escarabajos coprófagos de Chimichagua (Cesar)</w:t>
      </w: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Datos de Delgado (2012) organizados en el formato del taller para un estudio de caso en el Caribe colombiano</w:t>
      </w:r>
    </w:p>
    <w:p>
      <w:pPr>
        <w:pBdr>
          <w:bottom w:val="single" w:color="1F3A5F" w:sz="8" w:space="6"/>
        </w:pBdr>
        <w:spacing w:after="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Diversidad Multidimensional de Comunidades Biológicas en R · OPT_0086 · Programa de Biología, Universidad del Magdalena</w:t>
      </w:r>
    </w:p>
    <w:p>
      <w:pPr>
        <w:spacing w:after="1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Fecha: 20 de septiembre de 2026 · Documento de apoyo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1. Propósito y fuente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Se auditaron las tablas de abundancia y de variables ambientales de una tesis sobre escarabajos coprófagos (Scarabaeinae) en fragmentos de bosque seco del Caribe colombiano, y se organizaron en un libro de Excel con el diseño de las hojas </w:t>
      </w:r>
      <w:r>
        <w:rPr>
          <w:rFonts w:ascii="Consolas" w:cs="Consolas" w:eastAsia="Consolas" w:hAnsi="Consolas"/>
          <w:sz w:val="19"/>
          <w:szCs w:val="19"/>
        </w:rPr>
        <w:t xml:space="preserve">tax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rasgos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coord</w:t>
      </w:r>
      <w:r>
        <w:rPr>
          <w:rFonts w:ascii="Arial" w:cs="Arial" w:eastAsia="Arial" w:hAnsi="Arial"/>
          <w:sz w:val="21"/>
          <w:szCs w:val="21"/>
        </w:rP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amb</w:t>
      </w:r>
      <w:r>
        <w:rPr>
          <w:rFonts w:ascii="Arial" w:cs="Arial" w:eastAsia="Arial" w:hAnsi="Arial"/>
          <w:sz w:val="21"/>
          <w:szCs w:val="21"/>
        </w:rPr>
        <w:t xml:space="preserve"> del caso guiado del curso. El objetivo es ofrecer una base con abundancia por trampa y rasgos de las especies, apta para un estudio de caso con datos reales.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Fuente.</w:t>
      </w:r>
      <w:r>
        <w:rPr>
          <w:rFonts w:ascii="Arial" w:cs="Arial" w:eastAsia="Arial" w:hAnsi="Arial"/>
          <w:sz w:val="21"/>
          <w:szCs w:val="21"/>
        </w:rPr>
        <w:t xml:space="preserve"> Delgado Gómez, P. (2012).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Influencia del hábitat sobre el ensamblaje de escarabajos coprófagos (Scarabaeidae: Scarabaeinae) en bosques secos en el municipio de Chimichagua (Cesar)</w:t>
      </w:r>
      <w:r>
        <w:rPr>
          <w:rFonts w:ascii="Arial" w:cs="Arial" w:eastAsia="Arial" w:hAnsi="Arial"/>
          <w:sz w:val="21"/>
          <w:szCs w:val="21"/>
        </w:rPr>
        <w:t xml:space="preserve">. Tesis de Maestría en Ciencias Biológicas, Universidad Nacional de Colombia, Bogotá (director: A. Lopera-Toro; codirector: J. O. Rangel-Ch.). Los datos provienen de la Tabla 2-1 y de los Anexos B y C. La licencia de uso debe confirmarse en el repositorio institucional; en todo caso, debe citarse la tesis.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2. Diseño del estudio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Aspecto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Fragmentos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Cuatro fragmentos de bosque seco en Chimichagua (Cesar), entre 30 y 210 m de altitud: bosque en plano (BSpl, 897 ha), bosque en pendiente 1 (BSpe1, 34.15 ha), bosque en pendiente 2 (BSpe2, 2.34 ha) y palmar (PL, 54.67 ha).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Muestreo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Dos transectos de 200 m por fragmento, con cinco trampas de caída cada uno, cebados con excremento humano y con pescado en descomposición. Cuatro salidas: dos en lluvia y dos en seca.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7 939 individuos de 21 especies y 12 géneros (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Canthon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con 7 especies,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Onthophagus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con 3 y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Eurysternus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con 2). Riqueza por fragmento: BSpl 18, BSpe1 18, BSpe2 16 y PL 13.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Datos publicados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Tabla 2-1 (especie × fragmento × época, con el gremio), Anexo B (abundancia por trampa), Anexo C (variables ambientales por posición de muestreo) y Tablas 3-2 y 3-4 (área, forma, textura del suelo y cobertura arbórea).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Coordenadas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Una por fragmento, entre 9.298 y 9.354° N y entre 73.775 y 73.814° O. No hay coordenadas por trampa.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3. Auditoría de los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Aspecto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Abundancias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 sumar las trampas del Anexo B se reproduce la Tabla 2-1 celda por celda (0 diferencias en 168 celdas) y el total de 7 939 individuos.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Cifras del texto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reproducen los porcentajes por especie (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Canthon aequinoctialis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37.61 %) y por fragmento, el 67.93 % de individuos en la época seca, la riqueza por fragmento y por época, la diversidad de Shannon de BSpe2 (1.959) y los individuos por gremio (5 430 rodadores, 2 409 cavadores y 100 endocópridos).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Rasgos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Gremio de relocalización de las 21 especies (10 cavadoras, 9 rodadoras y 2 endocópridas) y hábito alimentario (7 coprófagas y 14 copro-necrófagas), ambos tomados de la tesis. No hay rasgos cuantitativos, ni siquiera tamaño corporal.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Esfuerzo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Hay 72 trampas con registro, de 80 posibles: faltan 4 en el palmar en lluvia, 2 en el palmar en seca y 2 en BSpe2 en seca.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Cebo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Anexo B no indica el cebo de cada trampa. Se asignó excremento a las trampas 1–5 y pescado a las 6–10, porque las 7 especies coprófagas son exactamente las que nunca aparecen en las trampas 6–10. Es una inferencia por confirmar.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Discrepancias en la tesis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Tabla 3-3 da 177 individuos en PL, frente a 137 en la Tabla 2-1 y el Anexo B. El texto da 295 individuos de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C. cyanellus sallei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en trampas de pescado y el Anexo B suma 265. El resumen en inglés habla de 10 trampas con excremento humano y los métodos describen dos cebos. El área de PL figura como 54 ha en el texto y 54.67 ha en la Tabla 3-2.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Variables ambientales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Anexo C trae 20 posiciones por fragmento y el Anexo B, 10 trampas: no se pudo asociar una con otra. En PL durante la lluvia solo hay datos de 10 posiciones. La profundidad de hojarasca no tiene unidades.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Nombres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Cuatro taxones con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aff.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uno con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sp.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Uroxys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sp.).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Canthon aequinoctialis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figura como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Silvicanthon aequinoctialis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en un estudio posterior en Sucre; conviene validar los nombres con una base taxonómica.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4. Organización realizada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Hoja tax.</w:t>
      </w:r>
      <w:r>
        <w:rPr>
          <w:rFonts w:ascii="Arial" w:cs="Arial" w:eastAsia="Arial" w:hAnsi="Arial"/>
          <w:sz w:val="21"/>
          <w:szCs w:val="21"/>
        </w:rPr>
        <w:t xml:space="preserve"> 72 unidades (fragmento_época_trampa) × 21 especies. </w:t>
      </w:r>
      <w:r>
        <w:rPr>
          <w:rFonts w:ascii="Consolas" w:cs="Consolas" w:eastAsia="Consolas" w:hAnsi="Consolas"/>
          <w:sz w:val="19"/>
          <w:szCs w:val="19"/>
        </w:rPr>
        <w:t xml:space="preserve">Sites1</w:t>
      </w:r>
      <w:r>
        <w:rPr>
          <w:rFonts w:ascii="Arial" w:cs="Arial" w:eastAsia="Arial" w:hAnsi="Arial"/>
          <w:sz w:val="21"/>
          <w:szCs w:val="21"/>
        </w:rPr>
        <w:t xml:space="preserve"> es el fragmento.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Hojas rasgos y rasgos_extra.</w:t>
      </w:r>
      <w:r>
        <w:rPr>
          <w:rFonts w:ascii="Arial" w:cs="Arial" w:eastAsia="Arial" w:hAnsi="Arial"/>
          <w:sz w:val="21"/>
          <w:szCs w:val="21"/>
        </w:rPr>
        <w:t xml:space="preserve"> Gremio y hábito alimentario con una sola categoría por especie (columnas binarias </w:t>
      </w:r>
      <w:r>
        <w:rPr>
          <w:rFonts w:ascii="Consolas" w:cs="Consolas" w:eastAsia="Consolas" w:hAnsi="Consolas"/>
          <w:sz w:val="19"/>
          <w:szCs w:val="19"/>
        </w:rPr>
        <w:t xml:space="preserve">tunneler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roller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dweller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coprophagous</w:t>
      </w:r>
      <w:r>
        <w:rPr>
          <w:rFonts w:ascii="Arial" w:cs="Arial" w:eastAsia="Arial" w:hAnsi="Arial"/>
          <w:sz w:val="21"/>
          <w:szCs w:val="21"/>
        </w:rP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copro_necrophagous</w:t>
      </w:r>
      <w:r>
        <w:rPr>
          <w:rFonts w:ascii="Arial" w:cs="Arial" w:eastAsia="Arial" w:hAnsi="Arial"/>
          <w:sz w:val="21"/>
          <w:szCs w:val="21"/>
        </w:rPr>
        <w:t xml:space="preserve">). En </w:t>
      </w:r>
      <w:r>
        <w:rPr>
          <w:rFonts w:ascii="Consolas" w:cs="Consolas" w:eastAsia="Consolas" w:hAnsi="Consolas"/>
          <w:sz w:val="19"/>
          <w:szCs w:val="19"/>
        </w:rPr>
        <w:t xml:space="preserve">rasgos_extra</w:t>
      </w:r>
      <w:r>
        <w:rPr>
          <w:rFonts w:ascii="Arial" w:cs="Arial" w:eastAsia="Arial" w:hAnsi="Arial"/>
          <w:sz w:val="21"/>
          <w:szCs w:val="21"/>
        </w:rPr>
        <w:t xml:space="preserve"> se agregó la preferencia por el cebo de pescado, derivada del Anexo B.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Hojas coord y amb.</w:t>
      </w:r>
      <w:r>
        <w:rPr>
          <w:rFonts w:ascii="Arial" w:cs="Arial" w:eastAsia="Arial" w:hAnsi="Arial"/>
          <w:sz w:val="21"/>
          <w:szCs w:val="21"/>
        </w:rPr>
        <w:t xml:space="preserve"> Coordenadas del fragmento; época, cebo (inferido), área, perímetro, forma, textura, cobertura arbórea y promedios ambientales del Anexo C por fragmento y época. Mismo orden de unidades que </w:t>
      </w:r>
      <w:r>
        <w:rPr>
          <w:rFonts w:ascii="Consolas" w:cs="Consolas" w:eastAsia="Consolas" w:hAnsi="Consolas"/>
          <w:sz w:val="19"/>
          <w:szCs w:val="19"/>
        </w:rPr>
        <w:t xml:space="preserve">tax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Hojas tax_agregada y amb_anexoC.</w:t>
      </w:r>
      <w:r>
        <w:rPr>
          <w:rFonts w:ascii="Arial" w:cs="Arial" w:eastAsia="Arial" w:hAnsi="Arial"/>
          <w:sz w:val="21"/>
          <w:szCs w:val="21"/>
        </w:rPr>
        <w:t xml:space="preserve"> La matriz fragmento × época (8 × 21), que equivale a la Tabla 2-1, y los valores originales del Anexo C por posición de muestreo.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Hoja notas.</w:t>
      </w:r>
      <w:r>
        <w:rPr>
          <w:rFonts w:ascii="Arial" w:cs="Arial" w:eastAsia="Arial" w:hAnsi="Arial"/>
          <w:sz w:val="21"/>
          <w:szCs w:val="21"/>
        </w:rPr>
        <w:t xml:space="preserve"> Fuentes, criterios, advertencias y verificaciones calculadas con fórmulas.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Se verificó que </w:t>
      </w:r>
      <w:r>
        <w:rPr>
          <w:rFonts w:ascii="Consolas" w:cs="Consolas" w:eastAsia="Consolas" w:hAnsi="Consolas"/>
          <w:sz w:val="19"/>
          <w:szCs w:val="19"/>
        </w:rPr>
        <w:t xml:space="preserve">tax</w:t>
      </w:r>
      <w:r>
        <w:rPr>
          <w:rFonts w:ascii="Arial" w:cs="Arial" w:eastAsia="Arial" w:hAnsi="Arial"/>
          <w:sz w:val="21"/>
          <w:szCs w:val="21"/>
        </w:rP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rasgos</w:t>
      </w:r>
      <w:r>
        <w:rPr>
          <w:rFonts w:ascii="Arial" w:cs="Arial" w:eastAsia="Arial" w:hAnsi="Arial"/>
          <w:sz w:val="21"/>
          <w:szCs w:val="21"/>
        </w:rPr>
        <w:t xml:space="preserve"> tengan las mismas especies en el mismo orden, que las unidades coincidan en </w:t>
      </w:r>
      <w:r>
        <w:rPr>
          <w:rFonts w:ascii="Consolas" w:cs="Consolas" w:eastAsia="Consolas" w:hAnsi="Consolas"/>
          <w:sz w:val="19"/>
          <w:szCs w:val="19"/>
        </w:rPr>
        <w:t xml:space="preserve">tax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coord</w:t>
      </w:r>
      <w:r>
        <w:rPr>
          <w:rFonts w:ascii="Arial" w:cs="Arial" w:eastAsia="Arial" w:hAnsi="Arial"/>
          <w:sz w:val="21"/>
          <w:szCs w:val="21"/>
        </w:rP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amb</w:t>
      </w:r>
      <w:r>
        <w:rPr>
          <w:rFonts w:ascii="Arial" w:cs="Arial" w:eastAsia="Arial" w:hAnsi="Arial"/>
          <w:sz w:val="21"/>
          <w:szCs w:val="21"/>
        </w:rPr>
        <w:t xml:space="preserve">, que </w:t>
      </w:r>
      <w:r>
        <w:rPr>
          <w:rFonts w:ascii="Consolas" w:cs="Consolas" w:eastAsia="Consolas" w:hAnsi="Consolas"/>
          <w:sz w:val="19"/>
          <w:szCs w:val="19"/>
        </w:rPr>
        <w:t xml:space="preserve">rasgos</w:t>
      </w:r>
      <w:r>
        <w:rPr>
          <w:rFonts w:ascii="Arial" w:cs="Arial" w:eastAsia="Arial" w:hAnsi="Arial"/>
          <w:sz w:val="21"/>
          <w:szCs w:val="21"/>
        </w:rPr>
        <w:t xml:space="preserve"> no tenga vacíos y que los individuos por gremio coincidan con los de la tesis.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5. Limitaciones y precauciones de uso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Los rasgos son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solo categóricos</w:t>
      </w:r>
      <w:r>
        <w:rPr>
          <w:rFonts w:ascii="Arial" w:cs="Arial" w:eastAsia="Arial" w:hAnsi="Arial"/>
          <w:sz w:val="21"/>
          <w:szCs w:val="21"/>
        </w:rPr>
        <w:t xml:space="preserve">. Para completar el mínimo de dos cuantitativos y dos categóricos hay que aportar rasgos de otra fuente, por ejemplo tamaño corporal. La preferencia por el pescado es un valor derivado y depende del supuesto sobre el cebo.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El diseño tiene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cuatro fragmentos sin réplica</w:t>
      </w:r>
      <w:r>
        <w:rPr>
          <w:rFonts w:ascii="Arial" w:cs="Arial" w:eastAsia="Arial" w:hAnsi="Arial"/>
          <w:sz w:val="21"/>
          <w:szCs w:val="21"/>
        </w:rPr>
        <w:t xml:space="preserve"> y con áreas de 2.34 a 897 ha: el efecto del hábitat se confunde con el del tamaño, y las trampas de un mismo fragmento son pseudorréplicas. El esfuerzo es desigual (38 trampas con excremento y 34 con pescado).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Las coordenadas son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por fragmento</w:t>
      </w:r>
      <w:r>
        <w:rPr>
          <w:rFonts w:ascii="Arial" w:cs="Arial" w:eastAsia="Arial" w:hAnsi="Arial"/>
          <w:sz w:val="21"/>
          <w:szCs w:val="21"/>
        </w:rPr>
        <w:t xml:space="preserve"> y las variables ambientales del Anexo C no se asocian a trampas concretas.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El muestreo cubre un solo año; la tesis atribuye la mayor abundancia en la época seca a un año La Niña.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Con 21 especies, la diversidad funcional debe plantearse con pocos rasgos. La fuente no incluye información filogenética.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Quedan por confirmar la asignación del cebo por trampa, la licencia de la tesis y la validez de los nombres científicos. La auditoría se hizo con una réplica en Python y no se ejecutó código en R.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xt"/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de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Auditoría de la base de escarabajos coprófagos de Chimichagua · OPT_0086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Txt">
    <w:name w:val="Footer Txt"/>
    <w:basedOn w:val="Normal"/>
    <w:rPr>
      <w:rFonts w:ascii="Arial" w:cs="Arial" w:eastAsia="Arial" w:hAnsi="Arial"/>
      <w:color w:val="7F7F7F"/>
      <w:sz w:val="16"/>
      <w:szCs w:val="16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auditoría de la base de escarabajos coprófagos de Chimichagua</dc:title>
  <dc:creator>Diversidad Multidimensional OPT_0086</dc:creator>
  <cp:lastModifiedBy>Un-named</cp:lastModifiedBy>
  <cp:revision>1</cp:revision>
  <dcterms:created xsi:type="dcterms:W3CDTF">2026-09-21T01:22:59.611Z</dcterms:created>
  <dcterms:modified xsi:type="dcterms:W3CDTF">2026-09-21T01:22:59.619Z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