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7378" w14:textId="77777777" w:rsidR="00B84F05" w:rsidRPr="00333208" w:rsidRDefault="00846886">
      <w:pPr>
        <w:spacing w:after="396" w:line="259" w:lineRule="auto"/>
        <w:ind w:left="56" w:right="0" w:firstLine="0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 </w:t>
      </w:r>
    </w:p>
    <w:p w14:paraId="4CDBB3CF" w14:textId="77777777" w:rsidR="00B84F05" w:rsidRDefault="00846886">
      <w:pPr>
        <w:spacing w:after="19" w:line="259" w:lineRule="auto"/>
        <w:ind w:left="2498" w:right="0" w:firstLine="0"/>
        <w:jc w:val="left"/>
        <w:rPr>
          <w:sz w:val="32"/>
          <w:szCs w:val="32"/>
        </w:rPr>
      </w:pPr>
      <w:r w:rsidRPr="00333208">
        <w:rPr>
          <w:b/>
          <w:sz w:val="32"/>
          <w:szCs w:val="32"/>
        </w:rPr>
        <w:t>Universidad del Valle de Guatemala</w:t>
      </w:r>
      <w:r w:rsidRPr="00333208">
        <w:rPr>
          <w:sz w:val="32"/>
          <w:szCs w:val="32"/>
        </w:rPr>
        <w:t xml:space="preserve"> </w:t>
      </w:r>
    </w:p>
    <w:p w14:paraId="762DF31B" w14:textId="77777777" w:rsidR="00333208" w:rsidRPr="00333208" w:rsidRDefault="00333208">
      <w:pPr>
        <w:spacing w:after="19" w:line="259" w:lineRule="auto"/>
        <w:ind w:left="2498" w:right="0" w:firstLine="0"/>
        <w:jc w:val="left"/>
        <w:rPr>
          <w:sz w:val="32"/>
          <w:szCs w:val="32"/>
        </w:rPr>
      </w:pPr>
    </w:p>
    <w:p w14:paraId="238DF7B9" w14:textId="77777777" w:rsidR="00B84F05" w:rsidRPr="00333208" w:rsidRDefault="00846886">
      <w:pPr>
        <w:spacing w:after="58" w:line="259" w:lineRule="auto"/>
        <w:ind w:left="0" w:right="5" w:firstLine="0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Facultad de Ingeniería </w:t>
      </w:r>
    </w:p>
    <w:p w14:paraId="186540C9" w14:textId="77777777" w:rsidR="00B84F05" w:rsidRPr="00333208" w:rsidRDefault="00846886">
      <w:pPr>
        <w:spacing w:after="50" w:line="259" w:lineRule="auto"/>
        <w:ind w:left="2429" w:right="0" w:firstLine="0"/>
        <w:jc w:val="left"/>
        <w:rPr>
          <w:sz w:val="28"/>
          <w:szCs w:val="28"/>
        </w:rPr>
      </w:pPr>
      <w:r w:rsidRPr="00333208">
        <w:rPr>
          <w:sz w:val="28"/>
          <w:szCs w:val="28"/>
        </w:rPr>
        <w:t xml:space="preserve">Departamento de Ciencias de la Computación </w:t>
      </w:r>
    </w:p>
    <w:p w14:paraId="7F732AEB" w14:textId="77777777" w:rsidR="00B84F05" w:rsidRDefault="00846886">
      <w:pPr>
        <w:spacing w:after="729" w:line="259" w:lineRule="auto"/>
        <w:ind w:left="2794" w:right="0" w:firstLine="0"/>
        <w:jc w:val="left"/>
        <w:rPr>
          <w:sz w:val="28"/>
          <w:szCs w:val="28"/>
          <w:lang w:val="en-US"/>
        </w:rPr>
      </w:pPr>
      <w:r w:rsidRPr="00333208">
        <w:rPr>
          <w:sz w:val="28"/>
          <w:szCs w:val="28"/>
          <w:lang w:val="en-US"/>
        </w:rPr>
        <w:t xml:space="preserve">CC3084 Data Science, </w:t>
      </w:r>
      <w:proofErr w:type="spellStart"/>
      <w:r w:rsidRPr="00333208">
        <w:rPr>
          <w:sz w:val="28"/>
          <w:szCs w:val="28"/>
          <w:lang w:val="en-US"/>
        </w:rPr>
        <w:t>Semestre</w:t>
      </w:r>
      <w:proofErr w:type="spellEnd"/>
      <w:r w:rsidRPr="00333208">
        <w:rPr>
          <w:sz w:val="28"/>
          <w:szCs w:val="28"/>
          <w:lang w:val="en-US"/>
        </w:rPr>
        <w:t xml:space="preserve"> II 2026 </w:t>
      </w:r>
    </w:p>
    <w:p w14:paraId="659375BB" w14:textId="77777777" w:rsidR="00333208" w:rsidRPr="00333208" w:rsidRDefault="00333208">
      <w:pPr>
        <w:spacing w:after="729" w:line="259" w:lineRule="auto"/>
        <w:ind w:left="2794" w:right="0" w:firstLine="0"/>
        <w:jc w:val="left"/>
        <w:rPr>
          <w:sz w:val="28"/>
          <w:szCs w:val="28"/>
          <w:lang w:val="en-US"/>
        </w:rPr>
      </w:pPr>
    </w:p>
    <w:p w14:paraId="004279A7" w14:textId="77777777" w:rsidR="00B84F05" w:rsidRDefault="00846886">
      <w:pPr>
        <w:spacing w:after="533" w:line="259" w:lineRule="auto"/>
        <w:ind w:left="118" w:right="0" w:firstLine="0"/>
        <w:jc w:val="center"/>
      </w:pPr>
      <w:r>
        <w:rPr>
          <w:noProof/>
        </w:rPr>
        <w:drawing>
          <wp:inline distT="0" distB="0" distL="0" distR="0" wp14:anchorId="285659A5" wp14:editId="13B9CEA2">
            <wp:extent cx="1547495" cy="2289429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22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</w:rPr>
        <w:t xml:space="preserve"> </w:t>
      </w:r>
    </w:p>
    <w:p w14:paraId="1141ADF3" w14:textId="62CCAF3B" w:rsidR="00B84F05" w:rsidRDefault="00846886">
      <w:pPr>
        <w:spacing w:after="0" w:line="276" w:lineRule="auto"/>
        <w:ind w:left="2768" w:right="2712" w:firstLine="0"/>
        <w:jc w:val="center"/>
      </w:pPr>
      <w:r>
        <w:rPr>
          <w:b/>
          <w:sz w:val="48"/>
        </w:rPr>
        <w:t xml:space="preserve">Laboratorio </w:t>
      </w:r>
      <w:r w:rsidR="007A79D8">
        <w:rPr>
          <w:b/>
          <w:sz w:val="48"/>
        </w:rPr>
        <w:t>2</w:t>
      </w:r>
      <w:r>
        <w:t xml:space="preserve"> </w:t>
      </w:r>
    </w:p>
    <w:p w14:paraId="1DD2FD18" w14:textId="77777777" w:rsidR="007A79D8" w:rsidRDefault="007A79D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6C8C9F2B" w14:textId="77777777" w:rsidR="00333208" w:rsidRDefault="0033320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7DCED6DA" w14:textId="77777777" w:rsidR="00333208" w:rsidRDefault="0033320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27E7111E" w14:textId="6688813D" w:rsidR="007A79D8" w:rsidRPr="00333208" w:rsidRDefault="00846886">
      <w:pPr>
        <w:spacing w:after="2" w:line="307" w:lineRule="auto"/>
        <w:ind w:left="3364" w:right="3306" w:firstLine="0"/>
        <w:jc w:val="center"/>
        <w:rPr>
          <w:sz w:val="28"/>
          <w:szCs w:val="28"/>
        </w:rPr>
      </w:pPr>
      <w:r w:rsidRPr="00333208">
        <w:rPr>
          <w:b/>
          <w:sz w:val="28"/>
          <w:szCs w:val="28"/>
        </w:rPr>
        <w:t>Integrantes del grupo</w:t>
      </w:r>
      <w:r w:rsidRPr="00333208">
        <w:rPr>
          <w:sz w:val="28"/>
          <w:szCs w:val="28"/>
        </w:rPr>
        <w:t xml:space="preserve"> </w:t>
      </w:r>
    </w:p>
    <w:p w14:paraId="61E9D20A" w14:textId="03FD4FB2" w:rsidR="00B84F05" w:rsidRPr="00333208" w:rsidRDefault="00846886">
      <w:pPr>
        <w:spacing w:after="2" w:line="307" w:lineRule="auto"/>
        <w:ind w:left="3364" w:right="3306" w:firstLine="0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Javier España #23361 </w:t>
      </w:r>
    </w:p>
    <w:p w14:paraId="622BBB4C" w14:textId="77777777" w:rsidR="00B84F05" w:rsidRPr="00333208" w:rsidRDefault="00846886">
      <w:pPr>
        <w:spacing w:after="51" w:line="265" w:lineRule="auto"/>
        <w:ind w:right="1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Ángel Esquit #23221 </w:t>
      </w:r>
    </w:p>
    <w:p w14:paraId="42BD4181" w14:textId="77777777" w:rsidR="00B84F05" w:rsidRPr="00333208" w:rsidRDefault="00846886">
      <w:pPr>
        <w:spacing w:after="541" w:line="265" w:lineRule="auto"/>
        <w:ind w:right="4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Roberto Barreda #23354 </w:t>
      </w:r>
    </w:p>
    <w:p w14:paraId="5168461B" w14:textId="78E42726" w:rsidR="00B84F05" w:rsidRPr="00333208" w:rsidRDefault="00846886" w:rsidP="007A79D8">
      <w:pPr>
        <w:spacing w:after="99" w:line="258" w:lineRule="auto"/>
        <w:ind w:left="40" w:right="32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Guatemala, </w:t>
      </w:r>
      <w:r w:rsidR="007A79D8" w:rsidRPr="00333208">
        <w:rPr>
          <w:sz w:val="28"/>
          <w:szCs w:val="28"/>
        </w:rPr>
        <w:t>2</w:t>
      </w:r>
      <w:r w:rsidRPr="00333208">
        <w:rPr>
          <w:sz w:val="28"/>
          <w:szCs w:val="28"/>
        </w:rPr>
        <w:t xml:space="preserve"> de </w:t>
      </w:r>
      <w:r w:rsidR="007A79D8" w:rsidRPr="00333208">
        <w:rPr>
          <w:sz w:val="28"/>
          <w:szCs w:val="28"/>
        </w:rPr>
        <w:t>agosto</w:t>
      </w:r>
      <w:r w:rsidRPr="00333208">
        <w:rPr>
          <w:sz w:val="28"/>
          <w:szCs w:val="28"/>
        </w:rPr>
        <w:t xml:space="preserve"> de 2026 </w:t>
      </w:r>
    </w:p>
    <w:p w14:paraId="3E0869B4" w14:textId="4F2805C3" w:rsidR="00AF5598" w:rsidRDefault="00E33F32" w:rsidP="00435B4E">
      <w:pPr>
        <w:pStyle w:val="Heading1"/>
        <w:numPr>
          <w:ilvl w:val="0"/>
          <w:numId w:val="0"/>
        </w:numPr>
        <w:ind w:left="10"/>
        <w:jc w:val="center"/>
      </w:pPr>
      <w:r>
        <w:lastRenderedPageBreak/>
        <w:t>Ejercicio 2</w:t>
      </w:r>
      <w:r w:rsidR="00435B4E">
        <w:t xml:space="preserve">: </w:t>
      </w:r>
      <w:r>
        <w:t>Análisis de similitud con catch22</w:t>
      </w:r>
    </w:p>
    <w:p w14:paraId="63CBE74B" w14:textId="77777777" w:rsidR="00AF5598" w:rsidRPr="00A84BC8" w:rsidRDefault="00E33F32" w:rsidP="00A84BC8">
      <w:pPr>
        <w:pStyle w:val="Heading1"/>
        <w:numPr>
          <w:ilvl w:val="0"/>
          <w:numId w:val="0"/>
        </w:numPr>
        <w:ind w:left="10"/>
        <w:rPr>
          <w:sz w:val="24"/>
          <w:szCs w:val="22"/>
        </w:rPr>
      </w:pPr>
      <w:r w:rsidRPr="00A84BC8">
        <w:rPr>
          <w:sz w:val="24"/>
          <w:szCs w:val="22"/>
        </w:rPr>
        <w:t>2.1 Idea detrás de catch22</w:t>
      </w:r>
    </w:p>
    <w:p w14:paraId="20751E56" w14:textId="77777777" w:rsidR="00AF5598" w:rsidRDefault="00E33F32">
      <w:r>
        <w:t>c</w:t>
      </w:r>
      <w:r>
        <w:t>atch22 nace del problema que plantea hctsa (highly comparative time-series analysis), un catálogo de miles de operaciones sobre una serie que resulta redundante y costoso de calcular. Fulcher y Jones lo redujeron a 22 características canónicas, filtrando de forma empírica cerca de 7,700 candidatas de hctsa sobre 93 tareas de clasificación hasta quedarse con las más informativas, baratas de calcular y poco redundantes entre sí. Su importancia radica en que convierte cualquier serie, sin importar su longitud,</w:t>
      </w:r>
      <w:r>
        <w:t xml:space="preserve"> en un vector interpretable de tamaño fijo, lo que permite compararla mediante PCA, clustering o distancias con un costo aproximadamente lineal. catch22 se calcula sobre la serie normalizada, por lo que el nivel medio y la varianza absoluta quedan fuera de las 22 características, ya que se compara la forma del comportamiento y no la magnitud.</w:t>
      </w:r>
    </w:p>
    <w:p w14:paraId="7E3BB0D9" w14:textId="77777777" w:rsidR="00604B3F" w:rsidRDefault="00604B3F"/>
    <w:p w14:paraId="47EF16A0" w14:textId="77777777" w:rsidR="00AF5598" w:rsidRPr="00A84BC8" w:rsidRDefault="00E33F32" w:rsidP="002974FA">
      <w:pPr>
        <w:pStyle w:val="Heading2"/>
        <w:numPr>
          <w:ilvl w:val="0"/>
          <w:numId w:val="0"/>
        </w:numPr>
        <w:ind w:left="20" w:hanging="10"/>
        <w:rPr>
          <w:sz w:val="24"/>
          <w:szCs w:val="22"/>
        </w:rPr>
      </w:pPr>
      <w:r w:rsidRPr="00A84BC8">
        <w:rPr>
          <w:sz w:val="24"/>
          <w:szCs w:val="22"/>
        </w:rPr>
        <w:t>2.2 Extracción de las 22 características</w:t>
      </w:r>
    </w:p>
    <w:p w14:paraId="3A43CB5F" w14:textId="77777777" w:rsidR="00AF5598" w:rsidRDefault="00E33F32">
      <w:r>
        <w:t>Se extrajeron las 22 características de catch22 para las siete series construidas en el Laboratorio 1, usando la serie completa de cada una (enero 2009 a junio 2026, 210 observaciones mensuales) y no solo el conjunto de entrenamiento, ya que el objetivo es caracterizar el comportamiento de cada serie, listadas en la Tabla 1.</w:t>
      </w:r>
    </w:p>
    <w:p w14:paraId="3A78E823" w14:textId="77777777" w:rsidR="00604B3F" w:rsidRDefault="00604B3F"/>
    <w:p w14:paraId="0A000001" w14:textId="77777777" w:rsidR="00AF5598" w:rsidRDefault="00E33F32" w:rsidP="00604B3F">
      <w:pPr>
        <w:jc w:val="center"/>
      </w:pPr>
      <w:r>
        <w:rPr>
          <w:b/>
        </w:rPr>
        <w:t xml:space="preserve">Tabla 1. </w:t>
      </w:r>
      <w:r>
        <w:rPr>
          <w:i/>
        </w:rPr>
        <w:t>Series de tiempo analizadas y su descripción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17"/>
        <w:gridCol w:w="4817"/>
      </w:tblGrid>
      <w:tr w:rsidR="00AF5598" w14:paraId="75E2BB94" w14:textId="77777777">
        <w:trPr>
          <w:tblHeader/>
        </w:trPr>
        <w:tc>
          <w:tcPr>
            <w:tcW w:w="4817" w:type="dxa"/>
            <w:shd w:val="clear" w:color="auto" w:fill="D9D9D9"/>
          </w:tcPr>
          <w:p w14:paraId="55DDCDC8" w14:textId="77777777" w:rsidR="00AF5598" w:rsidRDefault="00E33F32">
            <w:r>
              <w:rPr>
                <w:b/>
              </w:rPr>
              <w:t>Serie</w:t>
            </w:r>
          </w:p>
        </w:tc>
        <w:tc>
          <w:tcPr>
            <w:tcW w:w="4817" w:type="dxa"/>
            <w:shd w:val="clear" w:color="auto" w:fill="D9D9D9"/>
          </w:tcPr>
          <w:p w14:paraId="392C5C6E" w14:textId="77777777" w:rsidR="00AF5598" w:rsidRDefault="00E33F32">
            <w:r>
              <w:rPr>
                <w:b/>
              </w:rPr>
              <w:t>Descripción</w:t>
            </w:r>
          </w:p>
        </w:tc>
      </w:tr>
      <w:tr w:rsidR="00AF5598" w14:paraId="113F0BA6" w14:textId="77777777">
        <w:tc>
          <w:tcPr>
            <w:tcW w:w="4817" w:type="dxa"/>
          </w:tcPr>
          <w:p w14:paraId="164311E2" w14:textId="77777777" w:rsidR="00AF5598" w:rsidRDefault="00E33F32">
            <w:r>
              <w:t>Total_Consistent</w:t>
            </w:r>
          </w:p>
        </w:tc>
        <w:tc>
          <w:tcPr>
            <w:tcW w:w="4817" w:type="dxa"/>
          </w:tcPr>
          <w:p w14:paraId="2611BAFC" w14:textId="77777777" w:rsidR="00AF5598" w:rsidRDefault="00E33F32">
            <w:r>
              <w:t>Serie total mensual de viajeros, Turista más Excursionista</w:t>
            </w:r>
          </w:p>
        </w:tc>
      </w:tr>
      <w:tr w:rsidR="00AF5598" w14:paraId="16D60FD1" w14:textId="77777777">
        <w:tc>
          <w:tcPr>
            <w:tcW w:w="4817" w:type="dxa"/>
          </w:tcPr>
          <w:p w14:paraId="3AAE9853" w14:textId="77777777" w:rsidR="00AF5598" w:rsidRDefault="00E33F32">
            <w:r>
              <w:t>Via_Aerea</w:t>
            </w:r>
          </w:p>
        </w:tc>
        <w:tc>
          <w:tcPr>
            <w:tcW w:w="4817" w:type="dxa"/>
          </w:tcPr>
          <w:p w14:paraId="57168AC2" w14:textId="77777777" w:rsidR="00AF5598" w:rsidRDefault="00E33F32">
            <w:r>
              <w:t>Categoría vía de ingreso: aérea</w:t>
            </w:r>
          </w:p>
        </w:tc>
      </w:tr>
      <w:tr w:rsidR="00AF5598" w14:paraId="5E440F3C" w14:textId="77777777">
        <w:tc>
          <w:tcPr>
            <w:tcW w:w="4817" w:type="dxa"/>
          </w:tcPr>
          <w:p w14:paraId="2D298883" w14:textId="77777777" w:rsidR="00AF5598" w:rsidRDefault="00E33F32">
            <w:r>
              <w:t>Via_Terrestre</w:t>
            </w:r>
          </w:p>
        </w:tc>
        <w:tc>
          <w:tcPr>
            <w:tcW w:w="4817" w:type="dxa"/>
          </w:tcPr>
          <w:p w14:paraId="2D66DD49" w14:textId="77777777" w:rsidR="00AF5598" w:rsidRDefault="00E33F32">
            <w:r>
              <w:t>Categoría vía de ingreso: terrestre</w:t>
            </w:r>
          </w:p>
        </w:tc>
      </w:tr>
      <w:tr w:rsidR="00AF5598" w14:paraId="6C104164" w14:textId="77777777">
        <w:tc>
          <w:tcPr>
            <w:tcW w:w="4817" w:type="dxa"/>
          </w:tcPr>
          <w:p w14:paraId="74096934" w14:textId="77777777" w:rsidR="00AF5598" w:rsidRDefault="00E33F32">
            <w:r>
              <w:t>Via_Maritima</w:t>
            </w:r>
          </w:p>
        </w:tc>
        <w:tc>
          <w:tcPr>
            <w:tcW w:w="4817" w:type="dxa"/>
          </w:tcPr>
          <w:p w14:paraId="2815EC20" w14:textId="77777777" w:rsidR="00AF5598" w:rsidRDefault="00E33F32">
            <w:r>
              <w:t>Categoría vía de ingreso: marítima</w:t>
            </w:r>
          </w:p>
        </w:tc>
      </w:tr>
      <w:tr w:rsidR="00AF5598" w14:paraId="2428C3E2" w14:textId="77777777">
        <w:tc>
          <w:tcPr>
            <w:tcW w:w="4817" w:type="dxa"/>
          </w:tcPr>
          <w:p w14:paraId="46A99B41" w14:textId="77777777" w:rsidR="00AF5598" w:rsidRDefault="00E33F32">
            <w:r>
              <w:t>Pais_El Salvador</w:t>
            </w:r>
          </w:p>
        </w:tc>
        <w:tc>
          <w:tcPr>
            <w:tcW w:w="4817" w:type="dxa"/>
          </w:tcPr>
          <w:p w14:paraId="73B5E540" w14:textId="77777777" w:rsidR="00AF5598" w:rsidRDefault="00E33F32">
            <w:r>
              <w:t>Categoría país de residencia: El Salvador</w:t>
            </w:r>
          </w:p>
        </w:tc>
      </w:tr>
      <w:tr w:rsidR="00AF5598" w14:paraId="228D7D48" w14:textId="77777777">
        <w:tc>
          <w:tcPr>
            <w:tcW w:w="4817" w:type="dxa"/>
          </w:tcPr>
          <w:p w14:paraId="4AEF83DA" w14:textId="77777777" w:rsidR="00AF5598" w:rsidRDefault="00E33F32">
            <w:r>
              <w:t>Pais_Guatemala</w:t>
            </w:r>
          </w:p>
        </w:tc>
        <w:tc>
          <w:tcPr>
            <w:tcW w:w="4817" w:type="dxa"/>
          </w:tcPr>
          <w:p w14:paraId="61A2185C" w14:textId="77777777" w:rsidR="00AF5598" w:rsidRDefault="00E33F32">
            <w:r>
              <w:t>Categoría país de residencia: Guatemala</w:t>
            </w:r>
          </w:p>
        </w:tc>
      </w:tr>
      <w:tr w:rsidR="00AF5598" w14:paraId="27CB97F7" w14:textId="77777777">
        <w:tc>
          <w:tcPr>
            <w:tcW w:w="4817" w:type="dxa"/>
          </w:tcPr>
          <w:p w14:paraId="290BF04D" w14:textId="77777777" w:rsidR="00AF5598" w:rsidRDefault="00E33F32">
            <w:r>
              <w:t>Pais_Estados Unidos de América</w:t>
            </w:r>
          </w:p>
        </w:tc>
        <w:tc>
          <w:tcPr>
            <w:tcW w:w="4817" w:type="dxa"/>
          </w:tcPr>
          <w:p w14:paraId="4A0E75D7" w14:textId="77777777" w:rsidR="00AF5598" w:rsidRDefault="00E33F32">
            <w:r>
              <w:t>Categoría país de residencia: Estados Unidos</w:t>
            </w:r>
          </w:p>
        </w:tc>
      </w:tr>
    </w:tbl>
    <w:p w14:paraId="642D5CBF" w14:textId="77777777" w:rsidR="00604B3F" w:rsidRDefault="00604B3F"/>
    <w:p w14:paraId="4891B6EC" w14:textId="4B6E5E88" w:rsidR="00AF5598" w:rsidRDefault="00E33F32">
      <w:r>
        <w:t xml:space="preserve">Cada serie se normalizó a media cero y desviación uno, tras replicar el preprocesamiento del Laboratorio 1, condición que exige la definición original de catch22. La extracción se implementó en src/ExtraccionCatch22.py con la librería aeon, en lugar de pycatch22, que no compila en el entorno de trabajo (Python 3.14 sin Microsoft Visual C++ Build Tools). El resultado es una matriz de 7 filas </w:t>
      </w:r>
      <w:r>
        <w:t>por 22 columnas guardada en results/Catch22Features.csv, que se muestra en la Tabla 2.</w:t>
      </w:r>
    </w:p>
    <w:p w14:paraId="2C10F618" w14:textId="77777777" w:rsidR="00604B3F" w:rsidRDefault="00604B3F"/>
    <w:p w14:paraId="0A000002" w14:textId="77777777" w:rsidR="00AF5598" w:rsidRDefault="00E33F32" w:rsidP="00604B3F">
      <w:pPr>
        <w:jc w:val="center"/>
      </w:pPr>
      <w:r>
        <w:rPr>
          <w:b/>
        </w:rPr>
        <w:t xml:space="preserve">Tabla 2. </w:t>
      </w:r>
      <w:r>
        <w:rPr>
          <w:i/>
        </w:rPr>
        <w:t>Características de catch22 extraídas y su interpretación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17"/>
        <w:gridCol w:w="4817"/>
      </w:tblGrid>
      <w:tr w:rsidR="00AF5598" w14:paraId="5C470BF8" w14:textId="77777777">
        <w:trPr>
          <w:tblHeader/>
        </w:trPr>
        <w:tc>
          <w:tcPr>
            <w:tcW w:w="4817" w:type="dxa"/>
            <w:shd w:val="clear" w:color="auto" w:fill="D9D9D9"/>
          </w:tcPr>
          <w:p w14:paraId="48FF01FE" w14:textId="77777777" w:rsidR="00AF5598" w:rsidRDefault="00E33F32">
            <w:r>
              <w:rPr>
                <w:b/>
              </w:rPr>
              <w:lastRenderedPageBreak/>
              <w:t>Característica</w:t>
            </w:r>
          </w:p>
        </w:tc>
        <w:tc>
          <w:tcPr>
            <w:tcW w:w="4817" w:type="dxa"/>
            <w:shd w:val="clear" w:color="auto" w:fill="D9D9D9"/>
          </w:tcPr>
          <w:p w14:paraId="79FC39EC" w14:textId="77777777" w:rsidR="00AF5598" w:rsidRDefault="00E33F32">
            <w:r>
              <w:rPr>
                <w:b/>
              </w:rPr>
              <w:t>Qué mide</w:t>
            </w:r>
          </w:p>
        </w:tc>
      </w:tr>
      <w:tr w:rsidR="00AF5598" w14:paraId="2FFFCB37" w14:textId="77777777">
        <w:tc>
          <w:tcPr>
            <w:tcW w:w="4817" w:type="dxa"/>
          </w:tcPr>
          <w:p w14:paraId="2CA2FF0A" w14:textId="77777777" w:rsidR="00AF5598" w:rsidRDefault="00E33F32">
            <w:r>
              <w:t>DN_HistogramMode_5</w:t>
            </w:r>
          </w:p>
        </w:tc>
        <w:tc>
          <w:tcPr>
            <w:tcW w:w="4817" w:type="dxa"/>
          </w:tcPr>
          <w:p w14:paraId="041EE33A" w14:textId="77777777" w:rsidR="00AF5598" w:rsidRDefault="00E33F32">
            <w:r>
              <w:t>Moda de la distribución usando un histograma de 5 bins</w:t>
            </w:r>
          </w:p>
        </w:tc>
      </w:tr>
      <w:tr w:rsidR="00AF5598" w14:paraId="5F199922" w14:textId="77777777">
        <w:tc>
          <w:tcPr>
            <w:tcW w:w="4817" w:type="dxa"/>
          </w:tcPr>
          <w:p w14:paraId="0323B7BA" w14:textId="77777777" w:rsidR="00AF5598" w:rsidRDefault="00E33F32">
            <w:r>
              <w:t>DN_HistogramMode_10</w:t>
            </w:r>
          </w:p>
        </w:tc>
        <w:tc>
          <w:tcPr>
            <w:tcW w:w="4817" w:type="dxa"/>
          </w:tcPr>
          <w:p w14:paraId="0C4C1DA2" w14:textId="77777777" w:rsidR="00AF5598" w:rsidRDefault="00E33F32">
            <w:r>
              <w:t>Moda de la distribución usando un histograma de 10 bins</w:t>
            </w:r>
          </w:p>
        </w:tc>
      </w:tr>
      <w:tr w:rsidR="00AF5598" w14:paraId="3EE8B291" w14:textId="77777777">
        <w:tc>
          <w:tcPr>
            <w:tcW w:w="4817" w:type="dxa"/>
          </w:tcPr>
          <w:p w14:paraId="7414908B" w14:textId="77777777" w:rsidR="00AF5598" w:rsidRDefault="00E33F32">
            <w:r>
              <w:t>CO_f1ecac</w:t>
            </w:r>
          </w:p>
        </w:tc>
        <w:tc>
          <w:tcPr>
            <w:tcW w:w="4817" w:type="dxa"/>
          </w:tcPr>
          <w:p w14:paraId="53FA284B" w14:textId="77777777" w:rsidR="00AF5598" w:rsidRDefault="00E33F32">
            <w:r>
              <w:t>Retardo en que la autocorrelación cae por debajo de 1/e, escala de memoria lineal</w:t>
            </w:r>
          </w:p>
        </w:tc>
      </w:tr>
      <w:tr w:rsidR="00AF5598" w14:paraId="4DA4FBC0" w14:textId="77777777">
        <w:tc>
          <w:tcPr>
            <w:tcW w:w="4817" w:type="dxa"/>
          </w:tcPr>
          <w:p w14:paraId="00173F0B" w14:textId="77777777" w:rsidR="00AF5598" w:rsidRDefault="00E33F32">
            <w:r>
              <w:t>CO_FirstMin_ac</w:t>
            </w:r>
          </w:p>
        </w:tc>
        <w:tc>
          <w:tcPr>
            <w:tcW w:w="4817" w:type="dxa"/>
          </w:tcPr>
          <w:p w14:paraId="16DA3EB9" w14:textId="77777777" w:rsidR="00AF5598" w:rsidRDefault="00E33F32">
            <w:r>
              <w:t>Retardo del primer mínimo de la función de autocorrelación</w:t>
            </w:r>
          </w:p>
        </w:tc>
      </w:tr>
      <w:tr w:rsidR="00AF5598" w14:paraId="02EDC42A" w14:textId="77777777">
        <w:tc>
          <w:tcPr>
            <w:tcW w:w="4817" w:type="dxa"/>
          </w:tcPr>
          <w:p w14:paraId="4D5AD341" w14:textId="77777777" w:rsidR="00AF5598" w:rsidRDefault="00E33F32">
            <w:r>
              <w:t>CO_HistogramAMI_even_2_5</w:t>
            </w:r>
          </w:p>
        </w:tc>
        <w:tc>
          <w:tcPr>
            <w:tcW w:w="4817" w:type="dxa"/>
          </w:tcPr>
          <w:p w14:paraId="30673876" w14:textId="77777777" w:rsidR="00AF5598" w:rsidRDefault="00E33F32">
            <w:r>
              <w:t>Información mutua automática con retardo 2 y 5 bins, dependencia no lineal</w:t>
            </w:r>
          </w:p>
        </w:tc>
      </w:tr>
      <w:tr w:rsidR="00AF5598" w14:paraId="04FBC0F7" w14:textId="77777777">
        <w:tc>
          <w:tcPr>
            <w:tcW w:w="4817" w:type="dxa"/>
          </w:tcPr>
          <w:p w14:paraId="768B22B2" w14:textId="77777777" w:rsidR="00AF5598" w:rsidRDefault="00E33F32">
            <w:r>
              <w:t>CO_trev_1_num</w:t>
            </w:r>
          </w:p>
        </w:tc>
        <w:tc>
          <w:tcPr>
            <w:tcW w:w="4817" w:type="dxa"/>
          </w:tcPr>
          <w:p w14:paraId="52BF03A5" w14:textId="77777777" w:rsidR="00AF5598" w:rsidRDefault="00E33F32">
            <w:r>
              <w:t>Estadístico de reversibilidad temporal con retardo 1</w:t>
            </w:r>
          </w:p>
        </w:tc>
      </w:tr>
      <w:tr w:rsidR="00AF5598" w14:paraId="7F988D86" w14:textId="77777777">
        <w:tc>
          <w:tcPr>
            <w:tcW w:w="4817" w:type="dxa"/>
          </w:tcPr>
          <w:p w14:paraId="4926660C" w14:textId="77777777" w:rsidR="00AF5598" w:rsidRDefault="00E33F32">
            <w:r>
              <w:t>MD_hrv_classic_pnn40</w:t>
            </w:r>
          </w:p>
        </w:tc>
        <w:tc>
          <w:tcPr>
            <w:tcW w:w="4817" w:type="dxa"/>
          </w:tcPr>
          <w:p w14:paraId="6125BB8A" w14:textId="77777777" w:rsidR="00AF5598" w:rsidRDefault="00E33F32">
            <w:r>
              <w:t>Proporción de diferencias sucesivas que superan 0.04 desviaciones, fluctuación rápida</w:t>
            </w:r>
          </w:p>
        </w:tc>
      </w:tr>
      <w:tr w:rsidR="00AF5598" w14:paraId="0D12435F" w14:textId="77777777">
        <w:tc>
          <w:tcPr>
            <w:tcW w:w="4817" w:type="dxa"/>
          </w:tcPr>
          <w:p w14:paraId="1A7A3934" w14:textId="77777777" w:rsidR="00AF5598" w:rsidRDefault="00E33F32">
            <w:r>
              <w:t>SB_BinaryStats_mean_longstretch1</w:t>
            </w:r>
          </w:p>
        </w:tc>
        <w:tc>
          <w:tcPr>
            <w:tcW w:w="4817" w:type="dxa"/>
          </w:tcPr>
          <w:p w14:paraId="5DF14C8A" w14:textId="77777777" w:rsidR="00AF5598" w:rsidRDefault="00E33F32">
            <w:r>
              <w:t>Racha más larga de valores consecutivos por encima de la media</w:t>
            </w:r>
          </w:p>
        </w:tc>
      </w:tr>
      <w:tr w:rsidR="00AF5598" w14:paraId="7BC4BC6B" w14:textId="77777777">
        <w:tc>
          <w:tcPr>
            <w:tcW w:w="4817" w:type="dxa"/>
          </w:tcPr>
          <w:p w14:paraId="10AF42F2" w14:textId="77777777" w:rsidR="00AF5598" w:rsidRDefault="00E33F32">
            <w:r>
              <w:t>SB_TransitionMatrix_3ac_sumdiagcov</w:t>
            </w:r>
          </w:p>
        </w:tc>
        <w:tc>
          <w:tcPr>
            <w:tcW w:w="4817" w:type="dxa"/>
          </w:tcPr>
          <w:p w14:paraId="2EA7F091" w14:textId="77777777" w:rsidR="00AF5598" w:rsidRDefault="00E33F32">
            <w:r>
              <w:t>Covarianza de la diagonal de la matriz de transición de 3 estados</w:t>
            </w:r>
          </w:p>
        </w:tc>
      </w:tr>
      <w:tr w:rsidR="00AF5598" w14:paraId="3F2C1C05" w14:textId="77777777">
        <w:tc>
          <w:tcPr>
            <w:tcW w:w="4817" w:type="dxa"/>
          </w:tcPr>
          <w:p w14:paraId="457D5B98" w14:textId="77777777" w:rsidR="00AF5598" w:rsidRDefault="00E33F32">
            <w:r>
              <w:t>PD_PeriodicityWang_th0_01</w:t>
            </w:r>
          </w:p>
        </w:tc>
        <w:tc>
          <w:tcPr>
            <w:tcW w:w="4817" w:type="dxa"/>
          </w:tcPr>
          <w:p w14:paraId="752FA078" w14:textId="77777777" w:rsidR="00AF5598" w:rsidRDefault="00E33F32">
            <w:r>
              <w:t>Periodo dominante detectado por el método de Wang</w:t>
            </w:r>
          </w:p>
        </w:tc>
      </w:tr>
      <w:tr w:rsidR="00AF5598" w14:paraId="6756EAF9" w14:textId="77777777">
        <w:tc>
          <w:tcPr>
            <w:tcW w:w="4817" w:type="dxa"/>
          </w:tcPr>
          <w:p w14:paraId="1A3BD28C" w14:textId="77777777" w:rsidR="00AF5598" w:rsidRPr="001D2355" w:rsidRDefault="00E33F32">
            <w:pPr>
              <w:rPr>
                <w:lang w:val="en-US"/>
              </w:rPr>
            </w:pPr>
            <w:r w:rsidRPr="001D2355">
              <w:rPr>
                <w:lang w:val="en-US"/>
              </w:rPr>
              <w:t>CO_Embed2_Dist_tau_d_expfit_meandiff</w:t>
            </w:r>
          </w:p>
        </w:tc>
        <w:tc>
          <w:tcPr>
            <w:tcW w:w="4817" w:type="dxa"/>
          </w:tcPr>
          <w:p w14:paraId="0408F977" w14:textId="77777777" w:rsidR="00AF5598" w:rsidRDefault="00E33F32">
            <w:r>
              <w:t>Ajuste exponencial a las distancias en el espacio de fases embebido</w:t>
            </w:r>
          </w:p>
        </w:tc>
      </w:tr>
      <w:tr w:rsidR="00AF5598" w14:paraId="30BE4572" w14:textId="77777777">
        <w:tc>
          <w:tcPr>
            <w:tcW w:w="4817" w:type="dxa"/>
          </w:tcPr>
          <w:p w14:paraId="0C813AC3" w14:textId="77777777" w:rsidR="00AF5598" w:rsidRDefault="00E33F32">
            <w:r>
              <w:t>IN_AutoMutualInfoStats_40_gaussian_fmmi</w:t>
            </w:r>
          </w:p>
        </w:tc>
        <w:tc>
          <w:tcPr>
            <w:tcW w:w="4817" w:type="dxa"/>
          </w:tcPr>
          <w:p w14:paraId="54B7F852" w14:textId="77777777" w:rsidR="00AF5598" w:rsidRDefault="00E33F32">
            <w:r>
              <w:t>Primer mínimo de la información mutua automática gaussiana</w:t>
            </w:r>
          </w:p>
        </w:tc>
      </w:tr>
      <w:tr w:rsidR="00AF5598" w14:paraId="4A3A384F" w14:textId="77777777">
        <w:tc>
          <w:tcPr>
            <w:tcW w:w="4817" w:type="dxa"/>
          </w:tcPr>
          <w:p w14:paraId="0E7AF039" w14:textId="77777777" w:rsidR="00AF5598" w:rsidRDefault="00E33F32">
            <w:r>
              <w:t>FC_LocalSimple_mean1_tauresrat</w:t>
            </w:r>
          </w:p>
        </w:tc>
        <w:tc>
          <w:tcPr>
            <w:tcW w:w="4817" w:type="dxa"/>
          </w:tcPr>
          <w:p w14:paraId="1D5E6AF7" w14:textId="77777777" w:rsidR="00AF5598" w:rsidRDefault="00E33F32">
            <w:r>
              <w:t>Cambio en la escala de autocorrelación de los residuos de un pronóstico de 1 punto</w:t>
            </w:r>
          </w:p>
        </w:tc>
      </w:tr>
      <w:tr w:rsidR="00AF5598" w14:paraId="411CFF34" w14:textId="77777777">
        <w:tc>
          <w:tcPr>
            <w:tcW w:w="4817" w:type="dxa"/>
          </w:tcPr>
          <w:p w14:paraId="368EF97B" w14:textId="77777777" w:rsidR="00AF5598" w:rsidRDefault="00E33F32">
            <w:r>
              <w:t>DN_OutlierInclude_p_001_mdrmd</w:t>
            </w:r>
          </w:p>
        </w:tc>
        <w:tc>
          <w:tcPr>
            <w:tcW w:w="4817" w:type="dxa"/>
          </w:tcPr>
          <w:p w14:paraId="2605A1CD" w14:textId="77777777" w:rsidR="00AF5598" w:rsidRDefault="00E33F32">
            <w:r>
              <w:t>Momento temporal medio en que ocurren los valores extremos positivos</w:t>
            </w:r>
          </w:p>
        </w:tc>
      </w:tr>
      <w:tr w:rsidR="00AF5598" w14:paraId="698DAC91" w14:textId="77777777">
        <w:tc>
          <w:tcPr>
            <w:tcW w:w="4817" w:type="dxa"/>
          </w:tcPr>
          <w:p w14:paraId="10773D8B" w14:textId="77777777" w:rsidR="00AF5598" w:rsidRDefault="00E33F32">
            <w:r>
              <w:t>DN_OutlierInclude_n_001_mdrmd</w:t>
            </w:r>
          </w:p>
        </w:tc>
        <w:tc>
          <w:tcPr>
            <w:tcW w:w="4817" w:type="dxa"/>
          </w:tcPr>
          <w:p w14:paraId="4980B432" w14:textId="77777777" w:rsidR="00AF5598" w:rsidRDefault="00E33F32">
            <w:r>
              <w:t>Momento temporal medio en que ocurren los valores extremos negativos</w:t>
            </w:r>
          </w:p>
        </w:tc>
      </w:tr>
      <w:tr w:rsidR="00AF5598" w14:paraId="7A3D25EC" w14:textId="77777777">
        <w:tc>
          <w:tcPr>
            <w:tcW w:w="4817" w:type="dxa"/>
          </w:tcPr>
          <w:p w14:paraId="7B221EAC" w14:textId="77777777" w:rsidR="00AF5598" w:rsidRPr="001D2355" w:rsidRDefault="00E33F32">
            <w:pPr>
              <w:rPr>
                <w:lang w:val="en-US"/>
              </w:rPr>
            </w:pPr>
            <w:r w:rsidRPr="001D2355">
              <w:rPr>
                <w:lang w:val="en-US"/>
              </w:rPr>
              <w:t>SP_Summaries_welch_rect_area_5_1</w:t>
            </w:r>
          </w:p>
        </w:tc>
        <w:tc>
          <w:tcPr>
            <w:tcW w:w="4817" w:type="dxa"/>
          </w:tcPr>
          <w:p w14:paraId="66FFB12E" w14:textId="77777777" w:rsidR="00AF5598" w:rsidRDefault="00E33F32">
            <w:r>
              <w:t>Potencia concentrada en el quinto inferior del espectro de Welch</w:t>
            </w:r>
          </w:p>
        </w:tc>
      </w:tr>
      <w:tr w:rsidR="00AF5598" w14:paraId="148FA479" w14:textId="77777777">
        <w:tc>
          <w:tcPr>
            <w:tcW w:w="4817" w:type="dxa"/>
          </w:tcPr>
          <w:p w14:paraId="16E4C460" w14:textId="77777777" w:rsidR="00AF5598" w:rsidRDefault="00E33F32">
            <w:r>
              <w:t>SB_BinaryStats_diff_longstretch0</w:t>
            </w:r>
          </w:p>
        </w:tc>
        <w:tc>
          <w:tcPr>
            <w:tcW w:w="4817" w:type="dxa"/>
          </w:tcPr>
          <w:p w14:paraId="614E513E" w14:textId="77777777" w:rsidR="00AF5598" w:rsidRDefault="00E33F32">
            <w:r>
              <w:t>Racha más larga de decrementos consecutivos</w:t>
            </w:r>
          </w:p>
        </w:tc>
      </w:tr>
      <w:tr w:rsidR="00AF5598" w14:paraId="5B369E1F" w14:textId="77777777">
        <w:tc>
          <w:tcPr>
            <w:tcW w:w="4817" w:type="dxa"/>
          </w:tcPr>
          <w:p w14:paraId="65A56D7A" w14:textId="77777777" w:rsidR="00AF5598" w:rsidRDefault="00E33F32">
            <w:r>
              <w:t>SB_MotifThree_quantile_hh</w:t>
            </w:r>
          </w:p>
        </w:tc>
        <w:tc>
          <w:tcPr>
            <w:tcW w:w="4817" w:type="dxa"/>
          </w:tcPr>
          <w:p w14:paraId="1665D204" w14:textId="77777777" w:rsidR="00AF5598" w:rsidRDefault="00E33F32">
            <w:r>
              <w:t>Entropía de los motivos de longitud 2 sobre una simbolización en 3 cuantiles</w:t>
            </w:r>
          </w:p>
        </w:tc>
      </w:tr>
      <w:tr w:rsidR="00AF5598" w14:paraId="0EF031B8" w14:textId="77777777">
        <w:tc>
          <w:tcPr>
            <w:tcW w:w="4817" w:type="dxa"/>
          </w:tcPr>
          <w:p w14:paraId="595CEDB7" w14:textId="77777777" w:rsidR="00AF5598" w:rsidRPr="001D2355" w:rsidRDefault="00E33F32">
            <w:pPr>
              <w:rPr>
                <w:lang w:val="en-US"/>
              </w:rPr>
            </w:pPr>
            <w:r w:rsidRPr="001D2355">
              <w:rPr>
                <w:lang w:val="en-US"/>
              </w:rPr>
              <w:lastRenderedPageBreak/>
              <w:t>SC_FluctAnal_2_rsrangefit_50_1_logi_prop_r1</w:t>
            </w:r>
          </w:p>
        </w:tc>
        <w:tc>
          <w:tcPr>
            <w:tcW w:w="4817" w:type="dxa"/>
          </w:tcPr>
          <w:p w14:paraId="5D18793E" w14:textId="77777777" w:rsidR="00AF5598" w:rsidRDefault="00E33F32">
            <w:r>
              <w:t>Exponente de escalamiento por análisis de rango reescalado</w:t>
            </w:r>
          </w:p>
        </w:tc>
      </w:tr>
      <w:tr w:rsidR="00AF5598" w14:paraId="28373451" w14:textId="77777777">
        <w:tc>
          <w:tcPr>
            <w:tcW w:w="4817" w:type="dxa"/>
          </w:tcPr>
          <w:p w14:paraId="2FB00C6D" w14:textId="77777777" w:rsidR="00AF5598" w:rsidRDefault="00E33F32">
            <w:r>
              <w:t>SC_FluctAnal_2_dfa_50_1_2_logi_prop_r1</w:t>
            </w:r>
          </w:p>
        </w:tc>
        <w:tc>
          <w:tcPr>
            <w:tcW w:w="4817" w:type="dxa"/>
          </w:tcPr>
          <w:p w14:paraId="0FD98E5D" w14:textId="77777777" w:rsidR="00AF5598" w:rsidRDefault="00E33F32">
            <w:r>
              <w:t>Exponente de escalamiento por DFA, grado de autosimilitud</w:t>
            </w:r>
          </w:p>
        </w:tc>
      </w:tr>
      <w:tr w:rsidR="00AF5598" w14:paraId="408A0487" w14:textId="77777777">
        <w:tc>
          <w:tcPr>
            <w:tcW w:w="4817" w:type="dxa"/>
          </w:tcPr>
          <w:p w14:paraId="68DED98C" w14:textId="77777777" w:rsidR="00AF5598" w:rsidRPr="001D2355" w:rsidRDefault="00E33F32">
            <w:pPr>
              <w:rPr>
                <w:lang w:val="en-US"/>
              </w:rPr>
            </w:pPr>
            <w:r w:rsidRPr="001D2355">
              <w:rPr>
                <w:lang w:val="en-US"/>
              </w:rPr>
              <w:t>SP_Summaries_welch_rect_centroid</w:t>
            </w:r>
          </w:p>
        </w:tc>
        <w:tc>
          <w:tcPr>
            <w:tcW w:w="4817" w:type="dxa"/>
          </w:tcPr>
          <w:p w14:paraId="484CACB2" w14:textId="77777777" w:rsidR="00AF5598" w:rsidRDefault="00E33F32">
            <w:r>
              <w:t>Centroide del espectro de potencia de Welch, frecuencia característica</w:t>
            </w:r>
          </w:p>
        </w:tc>
      </w:tr>
      <w:tr w:rsidR="00AF5598" w14:paraId="60338598" w14:textId="77777777">
        <w:tc>
          <w:tcPr>
            <w:tcW w:w="4817" w:type="dxa"/>
          </w:tcPr>
          <w:p w14:paraId="09DC7D0C" w14:textId="77777777" w:rsidR="00AF5598" w:rsidRDefault="00E33F32">
            <w:r>
              <w:t>FC_LocalSimple_mean3_stderr</w:t>
            </w:r>
          </w:p>
        </w:tc>
        <w:tc>
          <w:tcPr>
            <w:tcW w:w="4817" w:type="dxa"/>
          </w:tcPr>
          <w:p w14:paraId="6AB5EC34" w14:textId="77777777" w:rsidR="00AF5598" w:rsidRDefault="00E33F32">
            <w:r>
              <w:t>Error de pronóstico de una media móvil de 3 puntos, predictibilidad local</w:t>
            </w:r>
          </w:p>
        </w:tc>
      </w:tr>
    </w:tbl>
    <w:p w14:paraId="09C3C8E0" w14:textId="77777777" w:rsidR="00507C4A" w:rsidRDefault="00507C4A"/>
    <w:p w14:paraId="0B000001" w14:textId="77777777" w:rsidR="00AF5598" w:rsidRPr="00A202F9" w:rsidRDefault="00E33F32" w:rsidP="00A202F9">
      <w:pPr>
        <w:pStyle w:val="Heading2"/>
        <w:numPr>
          <w:ilvl w:val="0"/>
          <w:numId w:val="0"/>
        </w:numPr>
        <w:ind w:left="10"/>
        <w:rPr>
          <w:sz w:val="24"/>
          <w:szCs w:val="22"/>
        </w:rPr>
      </w:pPr>
      <w:r w:rsidRPr="00A202F9">
        <w:rPr>
          <w:sz w:val="24"/>
          <w:szCs w:val="22"/>
        </w:rPr>
        <w:t>2.3 Matriz de características</w:t>
      </w:r>
    </w:p>
    <w:p w14:paraId="0B000002" w14:textId="77777777" w:rsidR="00AF5598" w:rsidRDefault="00E33F32">
      <w:r>
        <w:t xml:space="preserve">La matriz de características tiene 7 filas (una por serie) y 22 columnas (una por característica de catch22), sin valores faltantes, guardada en </w:t>
      </w:r>
      <w:proofErr w:type="spellStart"/>
      <w:r>
        <w:t>results</w:t>
      </w:r>
      <w:proofErr w:type="spellEnd"/>
      <w:r>
        <w:t>/Catch22Features.csv.</w:t>
      </w:r>
    </w:p>
    <w:p w14:paraId="67E7F386" w14:textId="77777777" w:rsidR="00604B3F" w:rsidRDefault="00604B3F"/>
    <w:p w14:paraId="0B000003" w14:textId="77777777" w:rsidR="00AF5598" w:rsidRPr="00A202F9" w:rsidRDefault="00E33F32" w:rsidP="00A202F9">
      <w:pPr>
        <w:pStyle w:val="Heading2"/>
        <w:numPr>
          <w:ilvl w:val="0"/>
          <w:numId w:val="0"/>
        </w:numPr>
        <w:rPr>
          <w:sz w:val="24"/>
          <w:szCs w:val="22"/>
        </w:rPr>
      </w:pPr>
      <w:r w:rsidRPr="00A202F9">
        <w:rPr>
          <w:sz w:val="24"/>
          <w:szCs w:val="22"/>
        </w:rPr>
        <w:t>2.4 Estandarización</w:t>
      </w:r>
    </w:p>
    <w:p w14:paraId="0B000004" w14:textId="77777777" w:rsidR="00AF5598" w:rsidRDefault="00E33F32">
      <w:r>
        <w:t>Cada columna se llevó a media cero y desviación uno con StandardScaler, ya que las 22 características no comparten unidad ni rango: sin estandarizar, SB_BinaryStats_mean_longstretch1 llega a 51 y PD_PeriodicityWang_th0_01 a 47, mientras SB_TransitionMatrix_3ac_sumdiagcov vive entre 0.005 y 0.046. Sin este paso, las características de rango grande dominarían las distancias y el PCA por escala y no por contenido.</w:t>
      </w:r>
    </w:p>
    <w:p w14:paraId="5B35BE43" w14:textId="77777777" w:rsidR="00604B3F" w:rsidRDefault="00604B3F"/>
    <w:p w14:paraId="0B000005" w14:textId="77777777" w:rsidR="00AF5598" w:rsidRPr="00A202F9" w:rsidRDefault="00E33F32" w:rsidP="00A202F9">
      <w:pPr>
        <w:pStyle w:val="Heading1"/>
        <w:numPr>
          <w:ilvl w:val="0"/>
          <w:numId w:val="0"/>
        </w:numPr>
        <w:ind w:left="10"/>
        <w:rPr>
          <w:sz w:val="24"/>
          <w:szCs w:val="22"/>
        </w:rPr>
      </w:pPr>
      <w:r w:rsidRPr="00A202F9">
        <w:rPr>
          <w:sz w:val="24"/>
          <w:szCs w:val="22"/>
        </w:rPr>
        <w:t>2.5 Análisis</w:t>
      </w:r>
    </w:p>
    <w:p w14:paraId="0B000006" w14:textId="77777777" w:rsidR="00AF5598" w:rsidRDefault="00E33F32">
      <w:r>
        <w:t>Sobre la matriz estandarizada se realizaron los cinco análisis solicitados.</w:t>
      </w:r>
    </w:p>
    <w:p w14:paraId="0B000007" w14:textId="77777777" w:rsidR="00AF5598" w:rsidRDefault="00E33F32">
      <w:r>
        <w:rPr>
          <w:b/>
        </w:rPr>
        <w:t xml:space="preserve">Componentes principales. </w:t>
      </w:r>
      <w:r>
        <w:t>Los primeros dos componentes explican 69.5% de la varianza y los primeros tres, 84.9% (Tabla 3, Figura 1).</w:t>
      </w:r>
    </w:p>
    <w:p w14:paraId="08A0BF04" w14:textId="77777777" w:rsidR="00604B3F" w:rsidRDefault="00604B3F"/>
    <w:p w14:paraId="0B000008" w14:textId="77777777" w:rsidR="00AF5598" w:rsidRDefault="00E33F32" w:rsidP="00604B3F">
      <w:pPr>
        <w:jc w:val="center"/>
      </w:pPr>
      <w:r>
        <w:rPr>
          <w:b/>
        </w:rPr>
        <w:t xml:space="preserve">Tabla 3. </w:t>
      </w:r>
      <w:r>
        <w:rPr>
          <w:i/>
        </w:rPr>
        <w:t>Varianza explicada por componente principal</w:t>
      </w:r>
    </w:p>
    <w:tbl>
      <w:tblPr>
        <w:tblStyle w:val="TableGrid"/>
        <w:tblW w:w="9634" w:type="dxa"/>
        <w:tblInd w:w="0" w:type="dxa"/>
        <w:tblLook w:val="04A0" w:firstRow="1" w:lastRow="0" w:firstColumn="1" w:lastColumn="0" w:noHBand="0" w:noVBand="1"/>
      </w:tblPr>
      <w:tblGrid>
        <w:gridCol w:w="3211"/>
        <w:gridCol w:w="3211"/>
        <w:gridCol w:w="3212"/>
      </w:tblGrid>
      <w:tr w:rsidR="006E676F" w14:paraId="6D7C0E90" w14:textId="77777777">
        <w:trPr>
          <w:tblHeader/>
        </w:trPr>
        <w:tc>
          <w:tcPr>
            <w:tcW w:w="3211" w:type="dxa"/>
            <w:shd w:val="clear" w:color="auto" w:fill="D9D9D9"/>
          </w:tcPr>
          <w:p w14:paraId="000B1001" w14:textId="77777777" w:rsidR="00AF5598" w:rsidRDefault="00E33F32">
            <w:r>
              <w:rPr>
                <w:b/>
              </w:rPr>
              <w:t>Componente</w:t>
            </w:r>
          </w:p>
        </w:tc>
        <w:tc>
          <w:tcPr>
            <w:tcW w:w="3211" w:type="dxa"/>
            <w:shd w:val="clear" w:color="auto" w:fill="D9D9D9"/>
          </w:tcPr>
          <w:p w14:paraId="000B1002" w14:textId="77777777" w:rsidR="00AF5598" w:rsidRDefault="00E33F32">
            <w:r>
              <w:rPr>
                <w:b/>
              </w:rPr>
              <w:t>Varianza explicada</w:t>
            </w:r>
          </w:p>
        </w:tc>
        <w:tc>
          <w:tcPr>
            <w:tcW w:w="3212" w:type="dxa"/>
            <w:shd w:val="clear" w:color="auto" w:fill="D9D9D9"/>
          </w:tcPr>
          <w:p w14:paraId="000B1003" w14:textId="77777777" w:rsidR="00AF5598" w:rsidRDefault="00E33F32">
            <w:r>
              <w:rPr>
                <w:b/>
              </w:rPr>
              <w:t>Acumulada</w:t>
            </w:r>
          </w:p>
        </w:tc>
      </w:tr>
      <w:tr w:rsidR="006E676F" w14:paraId="4B4794A3" w14:textId="77777777">
        <w:tc>
          <w:tcPr>
            <w:tcW w:w="3211" w:type="dxa"/>
          </w:tcPr>
          <w:p w14:paraId="000B1004" w14:textId="77777777" w:rsidR="00AF5598" w:rsidRDefault="00E33F32">
            <w:r>
              <w:t>PC1</w:t>
            </w:r>
          </w:p>
        </w:tc>
        <w:tc>
          <w:tcPr>
            <w:tcW w:w="3211" w:type="dxa"/>
          </w:tcPr>
          <w:p w14:paraId="000B1005" w14:textId="77777777" w:rsidR="00AF5598" w:rsidRDefault="00E33F32">
            <w:r>
              <w:t>50.5%</w:t>
            </w:r>
          </w:p>
        </w:tc>
        <w:tc>
          <w:tcPr>
            <w:tcW w:w="3212" w:type="dxa"/>
          </w:tcPr>
          <w:p w14:paraId="000B1006" w14:textId="77777777" w:rsidR="00AF5598" w:rsidRDefault="00E33F32">
            <w:r>
              <w:t>50.5%</w:t>
            </w:r>
          </w:p>
        </w:tc>
      </w:tr>
      <w:tr w:rsidR="006E676F" w14:paraId="141E0177" w14:textId="77777777">
        <w:tc>
          <w:tcPr>
            <w:tcW w:w="3211" w:type="dxa"/>
          </w:tcPr>
          <w:p w14:paraId="000B1007" w14:textId="77777777" w:rsidR="00AF5598" w:rsidRDefault="00E33F32">
            <w:r>
              <w:t>PC2</w:t>
            </w:r>
          </w:p>
        </w:tc>
        <w:tc>
          <w:tcPr>
            <w:tcW w:w="3211" w:type="dxa"/>
          </w:tcPr>
          <w:p w14:paraId="000B1008" w14:textId="77777777" w:rsidR="00AF5598" w:rsidRDefault="00E33F32">
            <w:r>
              <w:t>19.1%</w:t>
            </w:r>
          </w:p>
        </w:tc>
        <w:tc>
          <w:tcPr>
            <w:tcW w:w="3212" w:type="dxa"/>
          </w:tcPr>
          <w:p w14:paraId="000B1009" w14:textId="77777777" w:rsidR="00AF5598" w:rsidRDefault="00E33F32">
            <w:r>
              <w:t>69.5%</w:t>
            </w:r>
          </w:p>
        </w:tc>
      </w:tr>
      <w:tr w:rsidR="006E676F" w14:paraId="5E2AFA4F" w14:textId="77777777">
        <w:tc>
          <w:tcPr>
            <w:tcW w:w="3211" w:type="dxa"/>
          </w:tcPr>
          <w:p w14:paraId="000B1010" w14:textId="77777777" w:rsidR="00AF5598" w:rsidRDefault="00E33F32">
            <w:r>
              <w:t>PC3</w:t>
            </w:r>
          </w:p>
        </w:tc>
        <w:tc>
          <w:tcPr>
            <w:tcW w:w="3211" w:type="dxa"/>
          </w:tcPr>
          <w:p w14:paraId="000B1011" w14:textId="77777777" w:rsidR="00AF5598" w:rsidRDefault="00E33F32">
            <w:r>
              <w:t>15.4%</w:t>
            </w:r>
          </w:p>
        </w:tc>
        <w:tc>
          <w:tcPr>
            <w:tcW w:w="3212" w:type="dxa"/>
          </w:tcPr>
          <w:p w14:paraId="000B1012" w14:textId="77777777" w:rsidR="00AF5598" w:rsidRDefault="00E33F32">
            <w:r>
              <w:t>84.9%</w:t>
            </w:r>
          </w:p>
        </w:tc>
      </w:tr>
    </w:tbl>
    <w:p w14:paraId="0B000009" w14:textId="77777777" w:rsidR="00AF5598" w:rsidRDefault="00E33F32">
      <w:pPr>
        <w:jc w:val="center"/>
      </w:pPr>
      <w:r>
        <w:rPr>
          <w:noProof/>
        </w:rPr>
        <w:lastRenderedPageBreak/>
        <w:drawing>
          <wp:inline distT="0" distB="0" distL="0" distR="0" wp14:anchorId="5A6B5BF7" wp14:editId="63B409A4">
            <wp:extent cx="4838261" cy="393192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261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0010" w14:textId="77777777" w:rsidR="00AF5598" w:rsidRDefault="00E33F32">
      <w:pPr>
        <w:jc w:val="center"/>
        <w:rPr>
          <w:i/>
        </w:rPr>
      </w:pPr>
      <w:r>
        <w:rPr>
          <w:b/>
        </w:rPr>
        <w:t xml:space="preserve">Figura 1. </w:t>
      </w:r>
      <w:r>
        <w:rPr>
          <w:i/>
        </w:rPr>
        <w:t>Dispersión de las series en PC1 y PC2</w:t>
      </w:r>
    </w:p>
    <w:p w14:paraId="0C964454" w14:textId="77777777" w:rsidR="00A202F9" w:rsidRDefault="00A202F9">
      <w:pPr>
        <w:jc w:val="center"/>
      </w:pPr>
    </w:p>
    <w:p w14:paraId="0B000011" w14:textId="77777777" w:rsidR="00AF5598" w:rsidRDefault="00E33F32">
      <w:r>
        <w:rPr>
          <w:b/>
        </w:rPr>
        <w:t xml:space="preserve">Clustering. </w:t>
      </w:r>
      <w:r>
        <w:t>El clustering jerárquico con enlace de Ward y el coeficiente de silueta favorecen k = 2 (Tabla 4), que aísla a Pais_Guatemala del resto de las series (Figura 2).</w:t>
      </w:r>
    </w:p>
    <w:p w14:paraId="6C31E3CB" w14:textId="77777777" w:rsidR="00A202F9" w:rsidRDefault="00A202F9"/>
    <w:p w14:paraId="0B000012" w14:textId="77777777" w:rsidR="00AF5598" w:rsidRDefault="00E33F32" w:rsidP="00604B3F">
      <w:pPr>
        <w:jc w:val="center"/>
      </w:pPr>
      <w:r>
        <w:rPr>
          <w:b/>
        </w:rPr>
        <w:t xml:space="preserve">Tabla 4. </w:t>
      </w:r>
      <w:r>
        <w:rPr>
          <w:i/>
        </w:rPr>
        <w:t>Coeficiente de silueta por número de grupos</w:t>
      </w:r>
    </w:p>
    <w:tbl>
      <w:tblPr>
        <w:tblStyle w:val="TableGrid"/>
        <w:tblW w:w="9634" w:type="dxa"/>
        <w:tblInd w:w="0" w:type="dxa"/>
        <w:tblLook w:val="04A0" w:firstRow="1" w:lastRow="0" w:firstColumn="1" w:lastColumn="0" w:noHBand="0" w:noVBand="1"/>
      </w:tblPr>
      <w:tblGrid>
        <w:gridCol w:w="4817"/>
        <w:gridCol w:w="4817"/>
      </w:tblGrid>
      <w:tr w:rsidR="006E676F" w14:paraId="31D19EDD" w14:textId="77777777">
        <w:trPr>
          <w:tblHeader/>
        </w:trPr>
        <w:tc>
          <w:tcPr>
            <w:tcW w:w="4817" w:type="dxa"/>
            <w:shd w:val="clear" w:color="auto" w:fill="D9D9D9"/>
          </w:tcPr>
          <w:p w14:paraId="000B2001" w14:textId="77777777" w:rsidR="00AF5598" w:rsidRDefault="00E33F32">
            <w:r>
              <w:rPr>
                <w:b/>
              </w:rPr>
              <w:t>k</w:t>
            </w:r>
          </w:p>
        </w:tc>
        <w:tc>
          <w:tcPr>
            <w:tcW w:w="4817" w:type="dxa"/>
            <w:shd w:val="clear" w:color="auto" w:fill="D9D9D9"/>
          </w:tcPr>
          <w:p w14:paraId="000B2002" w14:textId="77777777" w:rsidR="00AF5598" w:rsidRDefault="00E33F32">
            <w:r>
              <w:rPr>
                <w:b/>
              </w:rPr>
              <w:t>Silueta</w:t>
            </w:r>
          </w:p>
        </w:tc>
      </w:tr>
      <w:tr w:rsidR="006E676F" w14:paraId="51C848EB" w14:textId="77777777">
        <w:tc>
          <w:tcPr>
            <w:tcW w:w="4817" w:type="dxa"/>
          </w:tcPr>
          <w:p w14:paraId="000B2003" w14:textId="77777777" w:rsidR="00AF5598" w:rsidRDefault="00E33F32">
            <w:r>
              <w:t>2</w:t>
            </w:r>
          </w:p>
        </w:tc>
        <w:tc>
          <w:tcPr>
            <w:tcW w:w="4817" w:type="dxa"/>
          </w:tcPr>
          <w:p w14:paraId="000B2004" w14:textId="77777777" w:rsidR="00AF5598" w:rsidRDefault="00E33F32">
            <w:r>
              <w:t>0.2714</w:t>
            </w:r>
          </w:p>
        </w:tc>
      </w:tr>
      <w:tr w:rsidR="006E676F" w14:paraId="0BA247E6" w14:textId="77777777">
        <w:tc>
          <w:tcPr>
            <w:tcW w:w="4817" w:type="dxa"/>
          </w:tcPr>
          <w:p w14:paraId="000B2005" w14:textId="77777777" w:rsidR="00AF5598" w:rsidRDefault="00E33F32">
            <w:r>
              <w:t>3</w:t>
            </w:r>
          </w:p>
        </w:tc>
        <w:tc>
          <w:tcPr>
            <w:tcW w:w="4817" w:type="dxa"/>
          </w:tcPr>
          <w:p w14:paraId="000B2006" w14:textId="77777777" w:rsidR="00AF5598" w:rsidRDefault="00E33F32">
            <w:r>
              <w:t>0.1648</w:t>
            </w:r>
          </w:p>
        </w:tc>
      </w:tr>
      <w:tr w:rsidR="006E676F" w14:paraId="6BAD04F0" w14:textId="77777777">
        <w:tc>
          <w:tcPr>
            <w:tcW w:w="4817" w:type="dxa"/>
          </w:tcPr>
          <w:p w14:paraId="000B2007" w14:textId="77777777" w:rsidR="00AF5598" w:rsidRDefault="00E33F32">
            <w:r>
              <w:t>4</w:t>
            </w:r>
          </w:p>
        </w:tc>
        <w:tc>
          <w:tcPr>
            <w:tcW w:w="4817" w:type="dxa"/>
          </w:tcPr>
          <w:p w14:paraId="000B2008" w14:textId="77777777" w:rsidR="00AF5598" w:rsidRDefault="00E33F32">
            <w:r>
              <w:t>0.1065</w:t>
            </w:r>
          </w:p>
        </w:tc>
      </w:tr>
    </w:tbl>
    <w:p w14:paraId="0B000013" w14:textId="77777777" w:rsidR="00AF5598" w:rsidRDefault="00E33F32">
      <w:pPr>
        <w:jc w:val="center"/>
      </w:pPr>
      <w:r>
        <w:rPr>
          <w:noProof/>
        </w:rPr>
        <w:lastRenderedPageBreak/>
        <w:drawing>
          <wp:inline distT="0" distB="0" distL="0" distR="0" wp14:anchorId="0CE2BC89" wp14:editId="71679315">
            <wp:extent cx="5760720" cy="3856509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0014" w14:textId="77777777" w:rsidR="00AF5598" w:rsidRDefault="00E33F32">
      <w:pPr>
        <w:jc w:val="center"/>
        <w:rPr>
          <w:i/>
        </w:rPr>
      </w:pPr>
      <w:r>
        <w:rPr>
          <w:b/>
        </w:rPr>
        <w:t xml:space="preserve">Figura 2. </w:t>
      </w:r>
      <w:r>
        <w:rPr>
          <w:i/>
        </w:rPr>
        <w:t>Dendrograma de clustering jerárquico (enlace de Ward)</w:t>
      </w:r>
    </w:p>
    <w:p w14:paraId="4042C3A6" w14:textId="77777777" w:rsidR="00A202F9" w:rsidRDefault="00A202F9">
      <w:pPr>
        <w:jc w:val="center"/>
      </w:pPr>
    </w:p>
    <w:p w14:paraId="0B000015" w14:textId="77777777" w:rsidR="00AF5598" w:rsidRDefault="00E33F32">
      <w:r>
        <w:rPr>
          <w:b/>
        </w:rPr>
        <w:t xml:space="preserve">Mapa de calor. </w:t>
      </w:r>
      <w:r>
        <w:t>Muestra las 22 características estandarizadas por serie, con escala divergente centrada en cero (Figura 3).</w:t>
      </w:r>
    </w:p>
    <w:p w14:paraId="49F0AAB4" w14:textId="77777777" w:rsidR="00A202F9" w:rsidRDefault="00A202F9"/>
    <w:p w14:paraId="0B000016" w14:textId="77777777" w:rsidR="00AF5598" w:rsidRDefault="00E33F32">
      <w:pPr>
        <w:jc w:val="center"/>
      </w:pPr>
      <w:r>
        <w:rPr>
          <w:noProof/>
        </w:rPr>
        <w:drawing>
          <wp:inline distT="0" distB="0" distL="0" distR="0" wp14:anchorId="2D827920" wp14:editId="016D9B11">
            <wp:extent cx="5760720" cy="2756007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0017" w14:textId="77777777" w:rsidR="00AF5598" w:rsidRDefault="00E33F32">
      <w:pPr>
        <w:jc w:val="center"/>
      </w:pPr>
      <w:r>
        <w:rPr>
          <w:b/>
        </w:rPr>
        <w:t xml:space="preserve">Figura 3. </w:t>
      </w:r>
      <w:r>
        <w:rPr>
          <w:i/>
        </w:rPr>
        <w:t>Mapa de calor de las 22 características estandarizadas</w:t>
      </w:r>
    </w:p>
    <w:p w14:paraId="0B000018" w14:textId="77777777" w:rsidR="00AF5598" w:rsidRDefault="00E33F32">
      <w:r>
        <w:rPr>
          <w:b/>
        </w:rPr>
        <w:lastRenderedPageBreak/>
        <w:t xml:space="preserve">Correlaciones entre características. </w:t>
      </w:r>
      <w:r>
        <w:t>13 de los 231 pares superan |r| = 0.9, con una media de 0.470 (Figura 4). Al estimarse con solo 7 series, estos valores son inestables y no implican redundancia general en catch22.</w:t>
      </w:r>
    </w:p>
    <w:p w14:paraId="73AD0639" w14:textId="77777777" w:rsidR="00A202F9" w:rsidRDefault="00A202F9"/>
    <w:p w14:paraId="0B000019" w14:textId="77777777" w:rsidR="00AF5598" w:rsidRDefault="00E33F32">
      <w:pPr>
        <w:jc w:val="center"/>
      </w:pPr>
      <w:r>
        <w:rPr>
          <w:noProof/>
        </w:rPr>
        <w:drawing>
          <wp:inline distT="0" distB="0" distL="0" distR="0" wp14:anchorId="64E297DE" wp14:editId="63E8FE6F">
            <wp:extent cx="4271554" cy="393192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1554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0020" w14:textId="77777777" w:rsidR="00AF5598" w:rsidRDefault="00E33F32">
      <w:pPr>
        <w:jc w:val="center"/>
        <w:rPr>
          <w:i/>
        </w:rPr>
      </w:pPr>
      <w:r>
        <w:rPr>
          <w:b/>
        </w:rPr>
        <w:t xml:space="preserve">Figura 4. </w:t>
      </w:r>
      <w:r>
        <w:rPr>
          <w:i/>
        </w:rPr>
        <w:t>Matriz de correlaciones entre características</w:t>
      </w:r>
    </w:p>
    <w:p w14:paraId="2D6DA3E9" w14:textId="77777777" w:rsidR="00A202F9" w:rsidRDefault="00A202F9">
      <w:pPr>
        <w:jc w:val="center"/>
      </w:pPr>
    </w:p>
    <w:p w14:paraId="0B000021" w14:textId="77777777" w:rsidR="00AF5598" w:rsidRDefault="00E33F32">
      <w:r>
        <w:rPr>
          <w:b/>
        </w:rPr>
        <w:t xml:space="preserve">Distancias entre series. </w:t>
      </w:r>
      <w:r>
        <w:t>El par más cercano es Total_Consistent con Via_Terrestre (4.17) y el más lejano, Pais_Guatemala con Via_Maritima (11.52). Pais_Guatemala y Via_Maritima tienen además la mayor distancia promedio al resto, las mismas series que el dendrograma separa primero (Figura 5).</w:t>
      </w:r>
    </w:p>
    <w:p w14:paraId="0B000022" w14:textId="77777777" w:rsidR="00AF5598" w:rsidRDefault="00E33F32">
      <w:pPr>
        <w:jc w:val="center"/>
      </w:pPr>
      <w:r>
        <w:rPr>
          <w:noProof/>
        </w:rPr>
        <w:lastRenderedPageBreak/>
        <w:drawing>
          <wp:inline distT="0" distB="0" distL="0" distR="0" wp14:anchorId="7C75C502" wp14:editId="4D13D204">
            <wp:extent cx="4348879" cy="393192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887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0023" w14:textId="77777777" w:rsidR="00AF5598" w:rsidRDefault="00E33F32">
      <w:pPr>
        <w:jc w:val="center"/>
        <w:rPr>
          <w:i/>
        </w:rPr>
      </w:pPr>
      <w:r>
        <w:rPr>
          <w:b/>
        </w:rPr>
        <w:t xml:space="preserve">Figura 5. </w:t>
      </w:r>
      <w:r>
        <w:rPr>
          <w:i/>
        </w:rPr>
        <w:t>Mapa de distancias euclidianas entre series</w:t>
      </w:r>
    </w:p>
    <w:p w14:paraId="4C56B1B6" w14:textId="77777777" w:rsidR="00A202F9" w:rsidRDefault="00A202F9">
      <w:pPr>
        <w:jc w:val="center"/>
      </w:pPr>
    </w:p>
    <w:p w14:paraId="0B000024" w14:textId="77777777" w:rsidR="00AF5598" w:rsidRDefault="00E33F32">
      <w:r>
        <w:rPr>
          <w:b/>
        </w:rPr>
        <w:t xml:space="preserve">Nota: </w:t>
      </w:r>
      <w:r>
        <w:t>con 7 series en un espacio de 22 dimensiones, el PCA solo estima 6 componentes con varianza no nula y las correlaciones entre características tienen alta incertidumbre. Estos resultados sirven para comparar las siete series entre sí, no para conclusiones generales sobre catch22.</w:t>
      </w:r>
    </w:p>
    <w:p w14:paraId="6B25BB4E" w14:textId="77777777" w:rsidR="00A202F9" w:rsidRDefault="00A202F9"/>
    <w:p w14:paraId="0A000003" w14:textId="77777777" w:rsidR="00AF5598" w:rsidRDefault="00E33F32">
      <w:pPr>
        <w:pStyle w:val="Heading1"/>
      </w:pPr>
      <w:r>
        <w:t>Referencias</w:t>
      </w:r>
    </w:p>
    <w:p w14:paraId="0A000006" w14:textId="77777777" w:rsidR="00AF5598" w:rsidRPr="00AC3167" w:rsidRDefault="00E33F32">
      <w:pPr>
        <w:spacing w:after="200"/>
        <w:ind w:left="720" w:hanging="720"/>
        <w:rPr>
          <w:lang w:val="en-US"/>
        </w:rPr>
      </w:pPr>
      <w:r w:rsidRPr="00AC3167">
        <w:rPr>
          <w:lang w:val="en-US"/>
        </w:rPr>
        <w:t>Fulcher, B. D. (</w:t>
      </w:r>
      <w:proofErr w:type="spellStart"/>
      <w:r w:rsidRPr="00AC3167">
        <w:rPr>
          <w:lang w:val="en-US"/>
        </w:rPr>
        <w:t>s.f.</w:t>
      </w:r>
      <w:proofErr w:type="spellEnd"/>
      <w:r w:rsidRPr="00AC3167">
        <w:rPr>
          <w:lang w:val="en-US"/>
        </w:rPr>
        <w:t xml:space="preserve">). Introduction. </w:t>
      </w:r>
      <w:proofErr w:type="spellStart"/>
      <w:r w:rsidRPr="00AC3167">
        <w:rPr>
          <w:lang w:val="en-US"/>
        </w:rPr>
        <w:t>hctsa</w:t>
      </w:r>
      <w:proofErr w:type="spellEnd"/>
      <w:r w:rsidRPr="00AC3167">
        <w:rPr>
          <w:lang w:val="en-US"/>
        </w:rPr>
        <w:t xml:space="preserve"> manual. https://time-series-features.gitbook.io/hctsa-manual</w:t>
      </w:r>
    </w:p>
    <w:sectPr w:rsidR="00AF5598" w:rsidRPr="00AC3167">
      <w:pgSz w:w="12240" w:h="15840"/>
      <w:pgMar w:top="1304" w:right="1302" w:bottom="1356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AEA"/>
    <w:multiLevelType w:val="multilevel"/>
    <w:tmpl w:val="D236F5C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A6F3C"/>
    <w:multiLevelType w:val="hybridMultilevel"/>
    <w:tmpl w:val="9182A6FC"/>
    <w:lvl w:ilvl="0" w:tplc="93A0C8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787A0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B4837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ADC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4A2D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F42D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6622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C90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2BD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662D08"/>
    <w:multiLevelType w:val="hybridMultilevel"/>
    <w:tmpl w:val="9614EF8C"/>
    <w:lvl w:ilvl="0" w:tplc="6CB2782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E674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BA9C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D49C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2497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B03F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D2E6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E17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014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4537162">
    <w:abstractNumId w:val="1"/>
  </w:num>
  <w:num w:numId="2" w16cid:durableId="796069538">
    <w:abstractNumId w:val="2"/>
  </w:num>
  <w:num w:numId="3" w16cid:durableId="102991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05"/>
    <w:rsid w:val="000128C9"/>
    <w:rsid w:val="000E478B"/>
    <w:rsid w:val="00100602"/>
    <w:rsid w:val="001163E7"/>
    <w:rsid w:val="001775D5"/>
    <w:rsid w:val="001D2355"/>
    <w:rsid w:val="002974FA"/>
    <w:rsid w:val="002E0173"/>
    <w:rsid w:val="00333208"/>
    <w:rsid w:val="00435B4E"/>
    <w:rsid w:val="00507C4A"/>
    <w:rsid w:val="00512B51"/>
    <w:rsid w:val="005C4311"/>
    <w:rsid w:val="00604B3F"/>
    <w:rsid w:val="006E676F"/>
    <w:rsid w:val="007A79D8"/>
    <w:rsid w:val="00846886"/>
    <w:rsid w:val="008F400D"/>
    <w:rsid w:val="00A202F9"/>
    <w:rsid w:val="00A84BC8"/>
    <w:rsid w:val="00AC3167"/>
    <w:rsid w:val="00AF5598"/>
    <w:rsid w:val="00B84F05"/>
    <w:rsid w:val="00F5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1F4A"/>
  <w15:docId w15:val="{42EA63E9-D67D-4B37-B357-0AE4D7ED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7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4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68" w:line="259" w:lineRule="auto"/>
      <w:ind w:left="3374" w:right="3306" w:hanging="10"/>
      <w:outlineLvl w:val="1"/>
    </w:pPr>
    <w:rPr>
      <w:rFonts w:ascii="Times New Roman" w:eastAsia="Times New Roman" w:hAnsi="Times New Roman" w:cs="Times New Roman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5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1131</Words>
  <Characters>6224</Characters>
  <Application>Microsoft Office Word</Application>
  <DocSecurity>0</DocSecurity>
  <Lines>51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Roberto Siekavizza</cp:lastModifiedBy>
  <cp:revision>12</cp:revision>
  <dcterms:created xsi:type="dcterms:W3CDTF">2026-07-31T04:43:00Z</dcterms:created>
  <dcterms:modified xsi:type="dcterms:W3CDTF">2026-07-31T06:11:00Z</dcterms:modified>
</cp:coreProperties>
</file>