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36"/>
        </w:rPr>
        <w:t>SALVI STUDIO</w:t>
      </w:r>
    </w:p>
    <w:p>
      <w:pPr>
        <w:jc w:val="center"/>
      </w:pPr>
      <w:r>
        <w:rPr>
          <w:b/>
          <w:sz w:val="54"/>
        </w:rPr>
        <w:t>MOTOR FOTOMÉTRICO AUTÓNOMO</w:t>
        <w:br/>
        <w:t>PARA CÁLCULO DE TÚNELES</w:t>
      </w:r>
    </w:p>
    <w:p>
      <w:pPr>
        <w:jc w:val="center"/>
      </w:pPr>
      <w:r>
        <w:rPr>
          <w:i/>
          <w:sz w:val="26"/>
        </w:rPr>
        <w:t>Especificación maestra funcional, normativa, matemática y de software</w:t>
      </w:r>
    </w:p>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E7E6E6"/>
          </w:tcPr>
          <w:p>
            <w:r/>
            <w:r>
              <w:rPr>
                <w:b/>
                <w:sz w:val="18"/>
              </w:rPr>
              <w:t>Proyecto</w:t>
            </w:r>
          </w:p>
        </w:tc>
        <w:tc>
          <w:tcPr>
            <w:tcW w:type="dxa" w:w="4929"/>
            <w:vAlign w:val="center"/>
          </w:tcPr>
          <w:p>
            <w:r/>
            <w:r>
              <w:rPr>
                <w:b w:val="0"/>
                <w:sz w:val="18"/>
              </w:rPr>
              <w:t>Salvi Studio · Tunnel Engine</w:t>
            </w:r>
          </w:p>
        </w:tc>
      </w:tr>
      <w:tr>
        <w:tc>
          <w:tcPr>
            <w:tcW w:type="dxa" w:w="4929"/>
            <w:vAlign w:val="center"/>
            <w:shd w:fill="E7E6E6"/>
          </w:tcPr>
          <w:p>
            <w:r/>
            <w:r>
              <w:rPr>
                <w:b/>
                <w:sz w:val="18"/>
              </w:rPr>
              <w:t>Módulo</w:t>
            </w:r>
          </w:p>
        </w:tc>
        <w:tc>
          <w:tcPr>
            <w:tcW w:type="dxa" w:w="4929"/>
            <w:vAlign w:val="center"/>
          </w:tcPr>
          <w:p>
            <w:r/>
            <w:r>
              <w:rPr>
                <w:b w:val="0"/>
                <w:sz w:val="18"/>
              </w:rPr>
              <w:t>Tunnel Photometric Engine</w:t>
            </w:r>
          </w:p>
        </w:tc>
      </w:tr>
      <w:tr>
        <w:tc>
          <w:tcPr>
            <w:tcW w:type="dxa" w:w="4929"/>
            <w:vAlign w:val="center"/>
            <w:shd w:fill="E7E6E6"/>
          </w:tcPr>
          <w:p>
            <w:r/>
            <w:r>
              <w:rPr>
                <w:b/>
                <w:sz w:val="18"/>
              </w:rPr>
              <w:t>Versión</w:t>
            </w:r>
          </w:p>
        </w:tc>
        <w:tc>
          <w:tcPr>
            <w:tcW w:type="dxa" w:w="4929"/>
            <w:vAlign w:val="center"/>
          </w:tcPr>
          <w:p>
            <w:r/>
            <w:r>
              <w:rPr>
                <w:b w:val="0"/>
                <w:sz w:val="18"/>
              </w:rPr>
              <w:t>1.0 · Especificación para implementación</w:t>
            </w:r>
          </w:p>
        </w:tc>
      </w:tr>
      <w:tr>
        <w:tc>
          <w:tcPr>
            <w:tcW w:type="dxa" w:w="4929"/>
            <w:vAlign w:val="center"/>
            <w:shd w:fill="E7E6E6"/>
          </w:tcPr>
          <w:p>
            <w:r/>
            <w:r>
              <w:rPr>
                <w:b/>
                <w:sz w:val="18"/>
              </w:rPr>
              <w:t>Backend</w:t>
            </w:r>
          </w:p>
        </w:tc>
        <w:tc>
          <w:tcPr>
            <w:tcW w:type="dxa" w:w="4929"/>
            <w:vAlign w:val="center"/>
          </w:tcPr>
          <w:p>
            <w:r/>
            <w:r>
              <w:rPr>
                <w:b w:val="0"/>
                <w:sz w:val="18"/>
              </w:rPr>
              <w:t>Python · FastAPI · PostgreSQL</w:t>
            </w:r>
          </w:p>
        </w:tc>
      </w:tr>
      <w:tr>
        <w:tc>
          <w:tcPr>
            <w:tcW w:type="dxa" w:w="4929"/>
            <w:vAlign w:val="center"/>
            <w:shd w:fill="E7E6E6"/>
          </w:tcPr>
          <w:p>
            <w:r/>
            <w:r>
              <w:rPr>
                <w:b/>
                <w:sz w:val="18"/>
              </w:rPr>
              <w:t>Frontend</w:t>
            </w:r>
          </w:p>
        </w:tc>
        <w:tc>
          <w:tcPr>
            <w:tcW w:type="dxa" w:w="4929"/>
            <w:vAlign w:val="center"/>
          </w:tcPr>
          <w:p>
            <w:r/>
            <w:r>
              <w:rPr>
                <w:b w:val="0"/>
                <w:sz w:val="18"/>
              </w:rPr>
              <w:t>React · TypeScript</w:t>
            </w:r>
          </w:p>
        </w:tc>
      </w:tr>
      <w:tr>
        <w:tc>
          <w:tcPr>
            <w:tcW w:type="dxa" w:w="4929"/>
            <w:vAlign w:val="center"/>
            <w:shd w:fill="E7E6E6"/>
          </w:tcPr>
          <w:p>
            <w:r/>
            <w:r>
              <w:rPr>
                <w:b/>
                <w:sz w:val="18"/>
              </w:rPr>
              <w:t>Normas base</w:t>
            </w:r>
          </w:p>
        </w:tc>
        <w:tc>
          <w:tcPr>
            <w:tcW w:type="dxa" w:w="4929"/>
            <w:vAlign w:val="center"/>
          </w:tcPr>
          <w:p>
            <w:r/>
            <w:r>
              <w:rPr>
                <w:b w:val="0"/>
                <w:sz w:val="18"/>
              </w:rPr>
              <w:t>CIE 88, CIE 140:2019 y CIE 144:2001</w:t>
            </w:r>
          </w:p>
        </w:tc>
      </w:tr>
      <w:tr>
        <w:tc>
          <w:tcPr>
            <w:tcW w:type="dxa" w:w="4929"/>
            <w:vAlign w:val="center"/>
            <w:shd w:fill="E7E6E6"/>
          </w:tcPr>
          <w:p>
            <w:r/>
            <w:r>
              <w:rPr>
                <w:b/>
                <w:sz w:val="18"/>
              </w:rPr>
              <w:t>Estado</w:t>
            </w:r>
          </w:p>
        </w:tc>
        <w:tc>
          <w:tcPr>
            <w:tcW w:type="dxa" w:w="4929"/>
            <w:vAlign w:val="center"/>
          </w:tcPr>
          <w:p>
            <w:r/>
            <w:r>
              <w:rPr>
                <w:b w:val="0"/>
                <w:sz w:val="18"/>
              </w:rPr>
              <w:t>Aprobado para desarrollo inicial</w:t>
            </w:r>
          </w:p>
        </w:tc>
      </w:tr>
    </w:tbl>
    <w:p>
      <w:pPr>
        <w:spacing w:before="600"/>
        <w:jc w:val="center"/>
      </w:pPr>
      <w:r>
        <w:rPr>
          <w:b/>
          <w:sz w:val="20"/>
        </w:rPr>
        <w:t>Documento interno de Salvi Lighting</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DOC-001</w:t>
            </w:r>
          </w:p>
        </w:tc>
        <w:tc>
          <w:tcPr>
            <w:tcW w:type="dxa" w:w="2464"/>
            <w:vAlign w:val="center"/>
          </w:tcPr>
          <w:p>
            <w:r/>
            <w:r>
              <w:rPr>
                <w:b w:val="0"/>
                <w:sz w:val="16"/>
              </w:rPr>
              <w:t>Este documento constituye la especificación contractual interna para el desarrollo del motor fotométrico.</w:t>
            </w:r>
          </w:p>
        </w:tc>
        <w:tc>
          <w:tcPr>
            <w:tcW w:type="dxa" w:w="2464"/>
            <w:vAlign w:val="center"/>
          </w:tcPr>
          <w:p>
            <w:r/>
            <w:r>
              <w:rPr>
                <w:b w:val="0"/>
                <w:sz w:val="16"/>
              </w:rPr>
              <w:t>Crítica</w:t>
            </w:r>
          </w:p>
        </w:tc>
        <w:tc>
          <w:tcPr>
            <w:tcW w:type="dxa" w:w="2464"/>
            <w:vAlign w:val="center"/>
          </w:tcPr>
          <w:p>
            <w:r/>
            <w:r>
              <w:rPr>
                <w:b w:val="0"/>
                <w:sz w:val="16"/>
              </w:rPr>
              <w:t>El código, las pruebas y la documentación deberán demostrar trazabilidad con los requisitos identificados.</w:t>
            </w:r>
          </w:p>
        </w:tc>
      </w:tr>
      <w:tr>
        <w:tc>
          <w:tcPr>
            <w:tcW w:type="dxa" w:w="2464"/>
            <w:vAlign w:val="center"/>
          </w:tcPr>
          <w:p>
            <w:r/>
            <w:r>
              <w:rPr>
                <w:b/>
                <w:sz w:val="16"/>
              </w:rPr>
              <w:t>DOC-002</w:t>
            </w:r>
          </w:p>
        </w:tc>
        <w:tc>
          <w:tcPr>
            <w:tcW w:type="dxa" w:w="2464"/>
            <w:vAlign w:val="center"/>
          </w:tcPr>
          <w:p>
            <w:r/>
            <w:r>
              <w:rPr>
                <w:b w:val="0"/>
                <w:sz w:val="16"/>
              </w:rPr>
              <w:t>Claude deberá generar código, documentación técnica y pruebas en una única fase de implementación, sin dejar funciones críticas como marcadores pendientes.</w:t>
            </w:r>
          </w:p>
        </w:tc>
        <w:tc>
          <w:tcPr>
            <w:tcW w:type="dxa" w:w="2464"/>
            <w:vAlign w:val="center"/>
          </w:tcPr>
          <w:p>
            <w:r/>
            <w:r>
              <w:rPr>
                <w:b w:val="0"/>
                <w:sz w:val="16"/>
              </w:rPr>
              <w:t>Crítica</w:t>
            </w:r>
          </w:p>
        </w:tc>
        <w:tc>
          <w:tcPr>
            <w:tcW w:type="dxa" w:w="2464"/>
            <w:vAlign w:val="center"/>
          </w:tcPr>
          <w:p>
            <w:r/>
            <w:r>
              <w:rPr>
                <w:b w:val="0"/>
                <w:sz w:val="16"/>
              </w:rPr>
              <w:t>No existirán TODO, pass, mocks permanentes ni métodos sin implementación en rutas productivas.</w:t>
            </w:r>
          </w:p>
        </w:tc>
      </w:tr>
      <w:tr>
        <w:tc>
          <w:tcPr>
            <w:tcW w:type="dxa" w:w="2464"/>
            <w:vAlign w:val="center"/>
          </w:tcPr>
          <w:p>
            <w:r/>
            <w:r>
              <w:rPr>
                <w:b/>
                <w:sz w:val="16"/>
              </w:rPr>
              <w:t>DOC-003</w:t>
            </w:r>
          </w:p>
        </w:tc>
        <w:tc>
          <w:tcPr>
            <w:tcW w:type="dxa" w:w="2464"/>
            <w:vAlign w:val="center"/>
          </w:tcPr>
          <w:p>
            <w:r/>
            <w:r>
              <w:rPr>
                <w:b w:val="0"/>
                <w:sz w:val="16"/>
              </w:rPr>
              <w:t>Las normas adjuntas se utilizarán como fuente normativa; no se copiarán ni redistribuirán íntegramente fuera del entorno autorizado.</w:t>
            </w:r>
          </w:p>
        </w:tc>
        <w:tc>
          <w:tcPr>
            <w:tcW w:type="dxa" w:w="2464"/>
            <w:vAlign w:val="center"/>
          </w:tcPr>
          <w:p>
            <w:r/>
            <w:r>
              <w:rPr>
                <w:b w:val="0"/>
                <w:sz w:val="16"/>
              </w:rPr>
              <w:t>Crítica</w:t>
            </w:r>
          </w:p>
        </w:tc>
        <w:tc>
          <w:tcPr>
            <w:tcW w:type="dxa" w:w="2464"/>
            <w:vAlign w:val="center"/>
          </w:tcPr>
          <w:p>
            <w:r/>
            <w:r>
              <w:rPr>
                <w:b w:val="0"/>
                <w:sz w:val="16"/>
              </w:rPr>
              <w:t>Las tablas y datos necesarios se almacenarán como datos internos versionados y con referencia de procedencia.</w:t>
            </w:r>
          </w:p>
        </w:tc>
      </w:tr>
    </w:tbl>
    <w:p/>
    <w:p>
      <w:pPr>
        <w:pStyle w:val="Heading2"/>
      </w:pPr>
      <w:r>
        <w:t>Fuentes normativas y alcance de uso</w:t>
      </w:r>
    </w:p>
    <w:p>
      <w:r>
        <w:t>El núcleo de cálculo se fundamentará en CIE 140:2019 para las convenciones geométricas, interpolación de intensidades, cálculo de luminancia e iluminancia, mallas, observadores, uniformidades y casos de validación. La CIE 140 remite a CIE 144 para las tablas de reflexión de pavimentos y establece el uso de interpolación lineal en las tablas fotométricas y en las r-tables.</w:t>
      </w:r>
    </w:p>
    <w:p>
      <w:r>
        <w:t>La biblioteca de superficies utilizará CIE 144:2001, que contiene las familias C1-C2, R1-R4, N1-N4 y W1-W4, así como las definiciones de Qd, Q0 y S1 y los procedimientos de selección y reescalado. La CIE 88 regirá los criterios específicos de iluminación de túneles, incluida la evaluación del incremento de umbral, la zonificación y las condiciones de operación.</w:t>
      </w:r>
    </w:p>
    <w:p>
      <w:r>
        <w:t>Referencias internas: CIE 140:2019, Road Lighting Calculations, 2nd Edition; CIE 144:2001, Road Surface and Road Marking Reflection Characteristics; CIE 88, Guide for the Lighting of Road Tunnels and Underpasses, en la edición configurada para cada proyecto.</w:t>
      </w:r>
    </w:p>
    <w:p>
      <w:pPr>
        <w:pStyle w:val="Heading1"/>
      </w:pPr>
      <w:r>
        <w:t>Índice</w:t>
      </w:r>
    </w:p>
    <w:p>
      <w:r>
        <w:fldChar w:fldCharType="begin"/>
        <w:instrText xml:space="preserve">TOC \o "1-3" \h \z \u</w:instrText>
        <w:fldChar w:fldCharType="separate"/>
      </w:r>
      <w:r>
        <w:rPr>
          <w:i/>
          <w:sz w:val="18"/>
        </w:rPr>
        <w:t>Actualice la tabla de contenido en Word con F9.</w:t>
      </w:r>
      <w:r>
        <w:fldChar w:fldCharType="end"/>
      </w:r>
    </w:p>
    <w:p>
      <w:r>
        <w:br w:type="page"/>
      </w:r>
    </w:p>
    <w:p>
      <w:pPr>
        <w:pStyle w:val="Heading1"/>
      </w:pPr>
      <w:r>
        <w:t>1. Propósito y visión del producto</w:t>
      </w:r>
    </w:p>
    <w:p>
      <w:r>
        <w:t>El objetivo es disponer de un motor fotométrico propio, autónomo, auditable y reproducible, integrado en Salvi Studio Tunnel Engine, capaz de sustituir la dependencia de aplicaciones externas para el cálculo y la optimización de iluminación de túneles.</w:t>
      </w:r>
    </w:p>
    <w:p>
      <w:r>
        <w:t>El motor deberá ser una librería matemática independiente y, simultáneamente, un servicio interno. La interfaz de usuario, la persistencia y la visualización no podrán contaminar el núcleo de cálculo. Un mismo conjunto de entradas deberá producir el mismo resultado en ejecución local, servicio backend, proceso batch y optimizador.</w:t>
      </w:r>
    </w:p>
    <w:p>
      <w:r>
        <w:t>La solución deberá cubrir desde la importación de una fotometría y el cálculo puntual hasta túneles completos con geometría variable, múltiples zonas, regulación, interreflexiones, escenarios operativos y optimización técnico-económica.</w:t>
      </w:r>
    </w:p>
    <w:p>
      <w:pPr>
        <w:pStyle w:val="Heading1"/>
      </w:pPr>
      <w:r>
        <w:t>2. Principios obligatorios de diseño</w:t>
      </w:r>
    </w:p>
    <w:p>
      <w:r>
        <w:t>Autonomía: ningún cálculo normativo dependerá de APIs, servicios web o licencias externas durante la ejecución.</w:t>
      </w:r>
    </w:p>
    <w:p>
      <w:r>
        <w:t>Trazabilidad: cada resultado deberá poder reconstruirse a partir de una versión de proyecto, versión del motor, datos de entrada, normas activas y opciones de cálculo.</w:t>
      </w:r>
    </w:p>
    <w:p>
      <w:r>
        <w:t>Determinismo: con idénticas entradas, tolerancias y versión del motor, los resultados serán idénticos dentro de la precisión IEEE-754 de 64 bits.</w:t>
      </w:r>
    </w:p>
    <w:p>
      <w:r>
        <w:t>Separación: el motor fotométrico puro no conocerá FastAPI, React, PostgreSQL, Redis ni detalles de interfaz.</w:t>
      </w:r>
    </w:p>
    <w:p>
      <w:r>
        <w:t>Precisión antes que apariencia: no se redondearán valores intermedios. El redondeo será exclusivo de presentación e informes.</w:t>
      </w:r>
    </w:p>
    <w:p>
      <w:r>
        <w:t>Extensibilidad: nuevas superficies, métricas, normas, formatos fotométricos o algoritmos se incorporarán mediante interfaces y adaptadores, no mediante condicionales dispersos.</w:t>
      </w:r>
    </w:p>
    <w:p>
      <w:r>
        <w:t>Seguridad de los datos: los ficheros importados se validarán, limitarán y almacenarán con hash, versión y procedencia.</w:t>
      </w:r>
    </w:p>
    <w:p>
      <w:pPr>
        <w:pStyle w:val="Heading1"/>
      </w:pPr>
      <w:r>
        <w:t>3. Alcance funcional completo</w:t>
      </w:r>
    </w:p>
    <w:p>
      <w:pPr>
        <w:pStyle w:val="Heading2"/>
      </w:pPr>
      <w:r>
        <w:t>3.1 Magnitudes fotométricas</w:t>
      </w:r>
    </w:p>
    <w:p>
      <w:pPr>
        <w:pStyle w:val="ListBullet"/>
      </w:pPr>
      <w:r>
        <w:t>Iluminancia horizontal, vertical, semicilíndrica, cilíndrica y hemisférica.</w:t>
      </w:r>
    </w:p>
    <w:p>
      <w:pPr>
        <w:pStyle w:val="ListBullet"/>
      </w:pPr>
      <w:r>
        <w:t>Luminancia de calzada por r-table CIE 144 y luminancia de superficies difusas.</w:t>
      </w:r>
    </w:p>
    <w:p>
      <w:pPr>
        <w:pStyle w:val="ListBullet"/>
      </w:pPr>
      <w:r>
        <w:t>Iluminancia y luminancia inicial, mantenida y por escenario de regulación.</w:t>
      </w:r>
    </w:p>
    <w:p>
      <w:pPr>
        <w:pStyle w:val="ListBullet"/>
      </w:pPr>
      <w:r>
        <w:t>Valores medios, mínimos, máximos, percentiles y distribuciones estadísticas.</w:t>
      </w:r>
    </w:p>
    <w:p>
      <w:pPr>
        <w:pStyle w:val="ListBullet"/>
      </w:pPr>
      <w:r>
        <w:t>Uniformidad global Uo, longitudinal Ul y de iluminancia Uh.</w:t>
      </w:r>
    </w:p>
    <w:p>
      <w:pPr>
        <w:pStyle w:val="ListBullet"/>
      </w:pPr>
      <w:r>
        <w:t>Incremento de umbral TI conforme a CIE 88 y geometría CIE aplicable.</w:t>
      </w:r>
    </w:p>
    <w:p>
      <w:pPr>
        <w:pStyle w:val="ListBullet"/>
      </w:pPr>
      <w:r>
        <w:t>EIR cuando sea requerido como métrica complementaria.</w:t>
      </w:r>
    </w:p>
    <w:p>
      <w:pPr>
        <w:pStyle w:val="ListBullet"/>
      </w:pPr>
      <w:r>
        <w:t>Mapas isolux, mapas de luminancia, perfiles longitudinales y transversales.</w:t>
      </w:r>
    </w:p>
    <w:p>
      <w:pPr>
        <w:pStyle w:val="ListBullet"/>
      </w:pPr>
      <w:r>
        <w:t>Contribución por luminaria, fila, circuito, zona, tipo y componente directa o reflejada.</w:t>
      </w:r>
    </w:p>
    <w:p>
      <w:pPr>
        <w:pStyle w:val="ListBullet"/>
      </w:pPr>
      <w:r>
        <w:t>Contraste de objetos cuando el proyecto y la norma activa lo exijan.</w:t>
      </w:r>
    </w:p>
    <w:p>
      <w:pPr>
        <w:pStyle w:val="ListBullet"/>
      </w:pPr>
      <w:r>
        <w:t>Consumo, potencia instalada, potencia regulada, energía anual y métricas de eficiencia.</w:t>
      </w:r>
    </w:p>
    <w:p>
      <w:pPr>
        <w:pStyle w:val="Heading2"/>
      </w:pPr>
      <w:r>
        <w:t>3.2 Modos de cálculo</w:t>
      </w:r>
    </w:p>
    <w:p>
      <w:pPr>
        <w:pStyle w:val="ListBullet"/>
      </w:pPr>
      <w:r>
        <w:t>DIRECT: iluminación directa sin interreflexiones.</w:t>
      </w:r>
    </w:p>
    <w:p>
      <w:pPr>
        <w:pStyle w:val="ListBullet"/>
      </w:pPr>
      <w:r>
        <w:t>DIRECT_PLUS_RADIOSITY: iluminación directa más interreflexiones difusas mediante radiosidad.</w:t>
      </w:r>
    </w:p>
    <w:p>
      <w:pPr>
        <w:pStyle w:val="ListBullet"/>
      </w:pPr>
      <w:r>
        <w:t>COMPARATIVE: ejecución simultánea de ambos modos y presentación de diferencias absolutas y relativas.</w:t>
      </w:r>
    </w:p>
    <w:p>
      <w:pPr>
        <w:pStyle w:val="ListBullet"/>
      </w:pPr>
      <w:r>
        <w:t>VALIDATION: ejecución estricta con parámetros bloqueados, sin simplificaciones, destinada a pruebas normativas.</w:t>
      </w:r>
    </w:p>
    <w:p>
      <w:pPr>
        <w:pStyle w:val="ListBullet"/>
      </w:pPr>
      <w:r>
        <w:t>PREVIEW: cálculo rápido con malla reducida, claramente identificado como no definitivo.</w:t>
      </w:r>
    </w:p>
    <w:p>
      <w:pPr>
        <w:pStyle w:val="Heading2"/>
      </w:pPr>
      <w:r>
        <w:t>3.3 Modos de uso</w:t>
      </w:r>
    </w:p>
    <w:p>
      <w:pPr>
        <w:pStyle w:val="ListBullet"/>
      </w:pPr>
      <w:r>
        <w:t>Cálculo de una solución definida por el usuario.</w:t>
      </w:r>
    </w:p>
    <w:p>
      <w:pPr>
        <w:pStyle w:val="ListBullet"/>
      </w:pPr>
      <w:r>
        <w:t>Optimización automática multiobjetivo.</w:t>
      </w:r>
    </w:p>
    <w:p>
      <w:pPr>
        <w:pStyle w:val="ListBullet"/>
      </w:pPr>
      <w:r>
        <w:t>Comparación de alternativas.</w:t>
      </w:r>
    </w:p>
    <w:p>
      <w:pPr>
        <w:pStyle w:val="ListBullet"/>
      </w:pPr>
      <w:r>
        <w:t>Análisis de sensibilidad.</w:t>
      </w:r>
    </w:p>
    <w:p>
      <w:pPr>
        <w:pStyle w:val="ListBullet"/>
      </w:pPr>
      <w:r>
        <w:t>Validación de cumplimiento normativo.</w:t>
      </w:r>
    </w:p>
    <w:p>
      <w:pPr>
        <w:pStyle w:val="ListBullet"/>
      </w:pPr>
      <w:r>
        <w:t>Generación de informes técnico, resumen cliente y dossier completo de ingeniería.</w:t>
      </w:r>
    </w:p>
    <w:p>
      <w:pPr>
        <w:pStyle w:val="Heading1"/>
      </w:pPr>
      <w:r>
        <w:t>4. Arquitectura de software</w:t>
      </w:r>
    </w:p>
    <w:p>
      <w:pPr>
        <w:pStyle w:val="Heading2"/>
      </w:pPr>
      <w:r>
        <w:t>4.1 Capas</w:t>
      </w:r>
    </w:p>
    <w:p>
      <w:pPr>
        <w:pStyle w:val="CodeBlock"/>
      </w:pPr>
      <w:r>
        <w:t>tunnel-photometric-engine/</w:t>
        <w:br/>
        <w:t xml:space="preserve">  src/tunnel_photometry/</w:t>
        <w:br/>
        <w:t xml:space="preserve">    domain/              # entidades y tipos sin dependencias externas</w:t>
        <w:br/>
        <w:t xml:space="preserve">    geometry/            # coordenadas, secciones, mallas, intersecciones</w:t>
        <w:br/>
        <w:t xml:space="preserve">    photometry/          # LDT, IES, normalización, interpolación</w:t>
        <w:br/>
        <w:t xml:space="preserve">    surfaces/            # CIE 144, materiales y superficies custom</w:t>
        <w:br/>
        <w:t xml:space="preserve">    direct/              # cálculo directo</w:t>
        <w:br/>
        <w:t xml:space="preserve">    radiosity/           # patches, factores de forma, solver</w:t>
        <w:br/>
        <w:t xml:space="preserve">    observers/           # observadores y líneas de visión</w:t>
        <w:br/>
        <w:t xml:space="preserve">    metrics/             # luminancia, iluminancias, uniformidades, TI</w:t>
        <w:br/>
        <w:t xml:space="preserve">    scenarios/           # zonas, regulación y estados operativos</w:t>
        <w:br/>
        <w:t xml:space="preserve">    optimization/        # variables, restricciones y algoritmos</w:t>
        <w:br/>
        <w:t xml:space="preserve">    validation/          # benchmarks, tolerancias y regresión</w:t>
        <w:br/>
        <w:t xml:space="preserve">    reporting/           # DTOs de resultados, no maquetación UI</w:t>
        <w:br/>
        <w:t xml:space="preserve">    application/         # casos de uso y orquestación</w:t>
        <w:br/>
        <w:t xml:space="preserve">  service/               # FastAPI y workers</w:t>
        <w:br/>
        <w:t xml:space="preserve">  migrations/            # Alembic</w:t>
        <w:br/>
        <w:t xml:space="preserve">  tests/                  # unit, integration, benchmark, property, regression</w:t>
        <w:br/>
        <w:t xml:space="preserve">  docs/                   # arquitectura, API, fórmulas, decisiones y uso</w:t>
        <w:br/>
      </w:r>
    </w:p>
    <w:p>
      <w:pPr>
        <w:pStyle w:val="Heading2"/>
      </w:pPr>
      <w:r>
        <w:t>4.2 Dependencias recomendadas</w:t>
      </w:r>
    </w:p>
    <w:p>
      <w:pPr>
        <w:pStyle w:val="ListBullet"/>
      </w:pPr>
      <w:r>
        <w:t>Python 3.13 o versión estable aprobada por Salvi.</w:t>
      </w:r>
    </w:p>
    <w:p>
      <w:pPr>
        <w:pStyle w:val="ListBullet"/>
      </w:pPr>
      <w:r>
        <w:t>FastAPI y Uvicorn para servicio interno.</w:t>
      </w:r>
    </w:p>
    <w:p>
      <w:pPr>
        <w:pStyle w:val="ListBullet"/>
      </w:pPr>
      <w:r>
        <w:t>Pydantic v2 para contratos de datos.</w:t>
      </w:r>
    </w:p>
    <w:p>
      <w:pPr>
        <w:pStyle w:val="ListBullet"/>
      </w:pPr>
      <w:r>
        <w:t>NumPy para cálculo vectorizado; SciPy para álgebra y optimización; Numba opcional solo tras demostrar equivalencia numérica.</w:t>
      </w:r>
    </w:p>
    <w:p>
      <w:pPr>
        <w:pStyle w:val="ListBullet"/>
      </w:pPr>
      <w:r>
        <w:t>SQLAlchemy 2 y Alembic para persistencia.</w:t>
      </w:r>
    </w:p>
    <w:p>
      <w:pPr>
        <w:pStyle w:val="ListBullet"/>
      </w:pPr>
      <w:r>
        <w:t>PostgreSQL 16 o superior; JSONB para configuraciones extensibles.</w:t>
      </w:r>
    </w:p>
    <w:p>
      <w:pPr>
        <w:pStyle w:val="ListBullet"/>
      </w:pPr>
      <w:r>
        <w:t>Redis y Dramatiq o Celery para trabajos largos. Preferencia inicial: Dramatiq por simplicidad operativa.</w:t>
      </w:r>
    </w:p>
    <w:p>
      <w:pPr>
        <w:pStyle w:val="ListBullet"/>
      </w:pPr>
      <w:r>
        <w:t>Pytest, Hypothesis, coverage y herramientas de perfilado.</w:t>
      </w:r>
    </w:p>
    <w:p>
      <w:pPr>
        <w:pStyle w:val="ListBullet"/>
      </w:pPr>
      <w:r>
        <w:t>React, TypeScript, Vite, TanStack Query, Zustand, Zod y React Three Fiber en frontend.</w:t>
      </w:r>
    </w:p>
    <w:p>
      <w:pPr>
        <w:pStyle w:val="Heading2"/>
      </w:pPr>
      <w:r>
        <w:t>4.3 Restricciones de dependencia</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ARC-001</w:t>
            </w:r>
          </w:p>
        </w:tc>
        <w:tc>
          <w:tcPr>
            <w:tcW w:type="dxa" w:w="2464"/>
            <w:vAlign w:val="center"/>
          </w:tcPr>
          <w:p>
            <w:r/>
            <w:r>
              <w:rPr>
                <w:b w:val="0"/>
                <w:sz w:val="16"/>
              </w:rPr>
              <w:t>El paquete core no importará FastAPI, SQLAlchemy, Redis ni librerías de UI.</w:t>
            </w:r>
          </w:p>
        </w:tc>
        <w:tc>
          <w:tcPr>
            <w:tcW w:type="dxa" w:w="2464"/>
            <w:vAlign w:val="center"/>
          </w:tcPr>
          <w:p>
            <w:r/>
            <w:r>
              <w:rPr>
                <w:b w:val="0"/>
                <w:sz w:val="16"/>
              </w:rPr>
              <w:t>Crítica</w:t>
            </w:r>
          </w:p>
        </w:tc>
        <w:tc>
          <w:tcPr>
            <w:tcW w:type="dxa" w:w="2464"/>
            <w:vAlign w:val="center"/>
          </w:tcPr>
          <w:p>
            <w:r/>
            <w:r>
              <w:rPr>
                <w:b w:val="0"/>
                <w:sz w:val="16"/>
              </w:rPr>
              <w:t>El test de arquitectura fallará si aparecen imports prohibidos.</w:t>
            </w:r>
          </w:p>
        </w:tc>
      </w:tr>
      <w:tr>
        <w:tc>
          <w:tcPr>
            <w:tcW w:type="dxa" w:w="2464"/>
            <w:vAlign w:val="center"/>
          </w:tcPr>
          <w:p>
            <w:r/>
            <w:r>
              <w:rPr>
                <w:b/>
                <w:sz w:val="16"/>
              </w:rPr>
              <w:t>ARC-002</w:t>
            </w:r>
          </w:p>
        </w:tc>
        <w:tc>
          <w:tcPr>
            <w:tcW w:type="dxa" w:w="2464"/>
            <w:vAlign w:val="center"/>
          </w:tcPr>
          <w:p>
            <w:r/>
            <w:r>
              <w:rPr>
                <w:b w:val="0"/>
                <w:sz w:val="16"/>
              </w:rPr>
              <w:t>Las entradas y salidas del core serán objetos de dominio inmutables o DTOs serializables.</w:t>
            </w:r>
          </w:p>
        </w:tc>
        <w:tc>
          <w:tcPr>
            <w:tcW w:type="dxa" w:w="2464"/>
            <w:vAlign w:val="center"/>
          </w:tcPr>
          <w:p>
            <w:r/>
            <w:r>
              <w:rPr>
                <w:b w:val="0"/>
                <w:sz w:val="16"/>
              </w:rPr>
              <w:t>Alta</w:t>
            </w:r>
          </w:p>
        </w:tc>
        <w:tc>
          <w:tcPr>
            <w:tcW w:type="dxa" w:w="2464"/>
            <w:vAlign w:val="center"/>
          </w:tcPr>
          <w:p>
            <w:r/>
            <w:r>
              <w:rPr>
                <w:b w:val="0"/>
                <w:sz w:val="16"/>
              </w:rPr>
              <w:t>Todos los casos de uso podrán ejecutarse sin servidor ni base de datos.</w:t>
            </w:r>
          </w:p>
        </w:tc>
      </w:tr>
      <w:tr>
        <w:tc>
          <w:tcPr>
            <w:tcW w:type="dxa" w:w="2464"/>
            <w:vAlign w:val="center"/>
          </w:tcPr>
          <w:p>
            <w:r/>
            <w:r>
              <w:rPr>
                <w:b/>
                <w:sz w:val="16"/>
              </w:rPr>
              <w:t>ARC-003</w:t>
            </w:r>
          </w:p>
        </w:tc>
        <w:tc>
          <w:tcPr>
            <w:tcW w:type="dxa" w:w="2464"/>
            <w:vAlign w:val="center"/>
          </w:tcPr>
          <w:p>
            <w:r/>
            <w:r>
              <w:rPr>
                <w:b w:val="0"/>
                <w:sz w:val="16"/>
              </w:rPr>
              <w:t>La lógica normativa no se implementará en controladores HTTP ni componentes React.</w:t>
            </w:r>
          </w:p>
        </w:tc>
        <w:tc>
          <w:tcPr>
            <w:tcW w:type="dxa" w:w="2464"/>
            <w:vAlign w:val="center"/>
          </w:tcPr>
          <w:p>
            <w:r/>
            <w:r>
              <w:rPr>
                <w:b w:val="0"/>
                <w:sz w:val="16"/>
              </w:rPr>
              <w:t>Crítica</w:t>
            </w:r>
          </w:p>
        </w:tc>
        <w:tc>
          <w:tcPr>
            <w:tcW w:type="dxa" w:w="2464"/>
            <w:vAlign w:val="center"/>
          </w:tcPr>
          <w:p>
            <w:r/>
            <w:r>
              <w:rPr>
                <w:b w:val="0"/>
                <w:sz w:val="16"/>
              </w:rPr>
              <w:t>La cobertura de reglas normativas residirá exclusivamente en core/application.</w:t>
            </w:r>
          </w:p>
        </w:tc>
      </w:tr>
      <w:tr>
        <w:tc>
          <w:tcPr>
            <w:tcW w:type="dxa" w:w="2464"/>
            <w:vAlign w:val="center"/>
          </w:tcPr>
          <w:p>
            <w:r/>
            <w:r>
              <w:rPr>
                <w:b/>
                <w:sz w:val="16"/>
              </w:rPr>
              <w:t>ARC-004</w:t>
            </w:r>
          </w:p>
        </w:tc>
        <w:tc>
          <w:tcPr>
            <w:tcW w:type="dxa" w:w="2464"/>
            <w:vAlign w:val="center"/>
          </w:tcPr>
          <w:p>
            <w:r/>
            <w:r>
              <w:rPr>
                <w:b w:val="0"/>
                <w:sz w:val="16"/>
              </w:rPr>
              <w:t>No se utilizará WebAssembly.</w:t>
            </w:r>
          </w:p>
        </w:tc>
        <w:tc>
          <w:tcPr>
            <w:tcW w:type="dxa" w:w="2464"/>
            <w:vAlign w:val="center"/>
          </w:tcPr>
          <w:p>
            <w:r/>
            <w:r>
              <w:rPr>
                <w:b w:val="0"/>
                <w:sz w:val="16"/>
              </w:rPr>
              <w:t>Media</w:t>
            </w:r>
          </w:p>
        </w:tc>
        <w:tc>
          <w:tcPr>
            <w:tcW w:type="dxa" w:w="2464"/>
            <w:vAlign w:val="center"/>
          </w:tcPr>
          <w:p>
            <w:r/>
            <w:r>
              <w:rPr>
                <w:b w:val="0"/>
                <w:sz w:val="16"/>
              </w:rPr>
              <w:t>La ejecución productiva se realizará en backend Python; el frontend solo prepara, muestra y gestiona datos.</w:t>
            </w:r>
          </w:p>
        </w:tc>
      </w:tr>
    </w:tbl>
    <w:p/>
    <w:p>
      <w:pPr>
        <w:pStyle w:val="Heading1"/>
      </w:pPr>
      <w:r>
        <w:t>5. Sistema de coordenadas y convenciones angulares</w:t>
      </w:r>
    </w:p>
    <w:p>
      <w:r>
        <w:t>Se adoptará un sistema cartesiano dextrógiro global: X en la dirección de progresiva del túnel, Y transversal positivo hacia la izquierda al mirar en +X y Z vertical positivo hacia arriba. Cada luminaria tendrá un sistema local fotométrico C-γ y cada superficie un sistema local u-v-n.</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GEO-001</w:t>
            </w:r>
          </w:p>
        </w:tc>
        <w:tc>
          <w:tcPr>
            <w:tcW w:type="dxa" w:w="2464"/>
            <w:vAlign w:val="center"/>
          </w:tcPr>
          <w:p>
            <w:r/>
            <w:r>
              <w:rPr>
                <w:b w:val="0"/>
                <w:sz w:val="16"/>
              </w:rPr>
              <w:t>Todas las longitudes internas se expresarán en metros y todos los ángulos internos en radianes.</w:t>
            </w:r>
          </w:p>
        </w:tc>
        <w:tc>
          <w:tcPr>
            <w:tcW w:type="dxa" w:w="2464"/>
            <w:vAlign w:val="center"/>
          </w:tcPr>
          <w:p>
            <w:r/>
            <w:r>
              <w:rPr>
                <w:b w:val="0"/>
                <w:sz w:val="16"/>
              </w:rPr>
              <w:t>Crítica</w:t>
            </w:r>
          </w:p>
        </w:tc>
        <w:tc>
          <w:tcPr>
            <w:tcW w:type="dxa" w:w="2464"/>
            <w:vAlign w:val="center"/>
          </w:tcPr>
          <w:p>
            <w:r/>
            <w:r>
              <w:rPr>
                <w:b w:val="0"/>
                <w:sz w:val="16"/>
              </w:rPr>
              <w:t>Las APIs aceptarán unidades declaradas y normalizarán al sistema interno.</w:t>
            </w:r>
          </w:p>
        </w:tc>
      </w:tr>
      <w:tr>
        <w:tc>
          <w:tcPr>
            <w:tcW w:type="dxa" w:w="2464"/>
            <w:vAlign w:val="center"/>
          </w:tcPr>
          <w:p>
            <w:r/>
            <w:r>
              <w:rPr>
                <w:b/>
                <w:sz w:val="16"/>
              </w:rPr>
              <w:t>GEO-002</w:t>
            </w:r>
          </w:p>
        </w:tc>
        <w:tc>
          <w:tcPr>
            <w:tcW w:type="dxa" w:w="2464"/>
            <w:vAlign w:val="center"/>
          </w:tcPr>
          <w:p>
            <w:r/>
            <w:r>
              <w:rPr>
                <w:b w:val="0"/>
                <w:sz w:val="16"/>
              </w:rPr>
              <w:t>Las transformaciones de luminaria respetarán la secuencia orientación, inclinación y rotación.</w:t>
            </w:r>
          </w:p>
        </w:tc>
        <w:tc>
          <w:tcPr>
            <w:tcW w:type="dxa" w:w="2464"/>
            <w:vAlign w:val="center"/>
          </w:tcPr>
          <w:p>
            <w:r/>
            <w:r>
              <w:rPr>
                <w:b w:val="0"/>
                <w:sz w:val="16"/>
              </w:rPr>
              <w:t>Crítica</w:t>
            </w:r>
          </w:p>
        </w:tc>
        <w:tc>
          <w:tcPr>
            <w:tcW w:type="dxa" w:w="2464"/>
            <w:vAlign w:val="center"/>
          </w:tcPr>
          <w:p>
            <w:r/>
            <w:r>
              <w:rPr>
                <w:b w:val="0"/>
                <w:sz w:val="16"/>
              </w:rPr>
              <w:t>Los casos de referencia de CIE 140 y pruebas de matrices deberán coincidir dentro de tolerancia.</w:t>
            </w:r>
          </w:p>
        </w:tc>
      </w:tr>
      <w:tr>
        <w:tc>
          <w:tcPr>
            <w:tcW w:type="dxa" w:w="2464"/>
            <w:vAlign w:val="center"/>
          </w:tcPr>
          <w:p>
            <w:r/>
            <w:r>
              <w:rPr>
                <w:b/>
                <w:sz w:val="16"/>
              </w:rPr>
              <w:t>GEO-003</w:t>
            </w:r>
          </w:p>
        </w:tc>
        <w:tc>
          <w:tcPr>
            <w:tcW w:type="dxa" w:w="2464"/>
            <w:vAlign w:val="center"/>
          </w:tcPr>
          <w:p>
            <w:r/>
            <w:r>
              <w:rPr>
                <w:b w:val="0"/>
                <w:sz w:val="16"/>
              </w:rPr>
              <w:t>La orientación, tilt de ensayo, tilt de instalación y rotación se conservarán como campos separados.</w:t>
            </w:r>
          </w:p>
        </w:tc>
        <w:tc>
          <w:tcPr>
            <w:tcW w:type="dxa" w:w="2464"/>
            <w:vAlign w:val="center"/>
          </w:tcPr>
          <w:p>
            <w:r/>
            <w:r>
              <w:rPr>
                <w:b w:val="0"/>
                <w:sz w:val="16"/>
              </w:rPr>
              <w:t>Alta</w:t>
            </w:r>
          </w:p>
        </w:tc>
        <w:tc>
          <w:tcPr>
            <w:tcW w:type="dxa" w:w="2464"/>
            <w:vAlign w:val="center"/>
          </w:tcPr>
          <w:p>
            <w:r/>
            <w:r>
              <w:rPr>
                <w:b w:val="0"/>
                <w:sz w:val="16"/>
              </w:rPr>
              <w:t>El tilt de cálculo se obtendrá de forma explícita y auditable.</w:t>
            </w:r>
          </w:p>
        </w:tc>
      </w:tr>
      <w:tr>
        <w:tc>
          <w:tcPr>
            <w:tcW w:type="dxa" w:w="2464"/>
            <w:vAlign w:val="center"/>
          </w:tcPr>
          <w:p>
            <w:r/>
            <w:r>
              <w:rPr>
                <w:b/>
                <w:sz w:val="16"/>
              </w:rPr>
              <w:t>GEO-004</w:t>
            </w:r>
          </w:p>
        </w:tc>
        <w:tc>
          <w:tcPr>
            <w:tcW w:type="dxa" w:w="2464"/>
            <w:vAlign w:val="center"/>
          </w:tcPr>
          <w:p>
            <w:r/>
            <w:r>
              <w:rPr>
                <w:b w:val="0"/>
                <w:sz w:val="16"/>
              </w:rPr>
              <w:t>La circulación podrá ser derecha, izquierda, bidireccional o por calzadas separadas.</w:t>
            </w:r>
          </w:p>
        </w:tc>
        <w:tc>
          <w:tcPr>
            <w:tcW w:type="dxa" w:w="2464"/>
            <w:vAlign w:val="center"/>
          </w:tcPr>
          <w:p>
            <w:r/>
            <w:r>
              <w:rPr>
                <w:b w:val="0"/>
                <w:sz w:val="16"/>
              </w:rPr>
              <w:t>Alta</w:t>
            </w:r>
          </w:p>
        </w:tc>
        <w:tc>
          <w:tcPr>
            <w:tcW w:type="dxa" w:w="2464"/>
            <w:vAlign w:val="center"/>
          </w:tcPr>
          <w:p>
            <w:r/>
            <w:r>
              <w:rPr>
                <w:b w:val="0"/>
                <w:sz w:val="16"/>
              </w:rPr>
              <w:t>Los observadores, zonas y sentidos se generarán correctamente para cada caso.</w:t>
            </w:r>
          </w:p>
        </w:tc>
      </w:tr>
    </w:tbl>
    <w:p/>
    <w:p>
      <w:pPr>
        <w:pStyle w:val="Heading2"/>
      </w:pPr>
      <w:r>
        <w:t>5.1 Transformación fotométrica</w:t>
      </w:r>
    </w:p>
    <w:p>
      <w:r>
        <w:t>El vector desde el centro fotométrico de la luminaria al punto de cálculo se transformará al sistema fotométrico local mediante matrices de rotación. Se utilizará atan2 para resolver el azimut en todo el dominio y una formulación robusta para γ, evitando tablas manuales de cuadrantes. Se normalizará C al intervalo [0, 360) grados en interfaces y [0, 2π) internamente.</w:t>
      </w:r>
    </w:p>
    <w:p>
      <w:pPr>
        <w:pStyle w:val="CodeBlock"/>
      </w:pPr>
      <w:r>
        <w:t>v_world = point_world - luminaire_position</w:t>
        <w:br/>
        <w:t>R = R_orientation @ R_tilt @ R_rotation</w:t>
        <w:br/>
        <w:t>v_local = R.T @ v_world</w:t>
        <w:br/>
        <w:t>C = atan2(v_local.y, v_local.x) mod 2π</w:t>
        <w:br/>
        <w:t>gamma = atan2(hypot(v_local.x, v_local.y), -v_local.z_reference)</w:t>
        <w:br/>
      </w:r>
    </w:p>
    <w:p>
      <w:r>
        <w:t>La implementación deberá documentar con precisión el signo de cada eje y validar que la formulación es equivalente a las ecuaciones de CIE 140 para la convención adoptada.</w:t>
      </w:r>
    </w:p>
    <w:p>
      <w:pPr>
        <w:pStyle w:val="Heading1"/>
      </w:pPr>
      <w:r>
        <w:t>6. Modelo geométrico del túnel</w:t>
      </w:r>
    </w:p>
    <w:p>
      <w:pPr>
        <w:pStyle w:val="Heading2"/>
      </w:pPr>
      <w:r>
        <w:t>6.1 Eje y progresiva</w:t>
      </w:r>
    </w:p>
    <w:p>
      <w:pPr>
        <w:pStyle w:val="ListBullet"/>
      </w:pPr>
      <w:r>
        <w:t>Eje 3D definido por alineación horizontal y perfil longitudinal.</w:t>
      </w:r>
    </w:p>
    <w:p>
      <w:pPr>
        <w:pStyle w:val="ListBullet"/>
      </w:pPr>
      <w:r>
        <w:t>Segmentos rectos, arcos circulares, clotoides opcionales y polilíneas importadas.</w:t>
      </w:r>
    </w:p>
    <w:p>
      <w:pPr>
        <w:pStyle w:val="ListBullet"/>
      </w:pPr>
      <w:r>
        <w:t>Pendiente longitudinal, peralte y torsión de sección.</w:t>
      </w:r>
    </w:p>
    <w:p>
      <w:pPr>
        <w:pStyle w:val="ListBullet"/>
      </w:pPr>
      <w:r>
        <w:t>Progresiva acumulada y estaciones de control.</w:t>
      </w:r>
    </w:p>
    <w:p>
      <w:pPr>
        <w:pStyle w:val="ListBullet"/>
      </w:pPr>
      <w:r>
        <w:t>Conversión bidireccional entre coordenadas globales y coordenadas de eje s-y-z.</w:t>
      </w:r>
    </w:p>
    <w:p>
      <w:pPr>
        <w:pStyle w:val="Heading2"/>
      </w:pPr>
      <w:r>
        <w:t>6.2 Secciones</w:t>
      </w:r>
    </w:p>
    <w:p>
      <w:pPr>
        <w:pStyle w:val="ListBullet"/>
      </w:pPr>
      <w:r>
        <w:t>Rectangular, trapezoidal, circular, elíptica, abovedada y polilínea cerrada personalizada.</w:t>
      </w:r>
    </w:p>
    <w:p>
      <w:pPr>
        <w:pStyle w:val="ListBullet"/>
      </w:pPr>
      <w:r>
        <w:t>Sección constante o variable por interpolación entre estaciones.</w:t>
      </w:r>
    </w:p>
    <w:p>
      <w:pPr>
        <w:pStyle w:val="ListBullet"/>
      </w:pPr>
      <w:r>
        <w:t>Superficies identificables: calzada, arcén, acera, pared izquierda, pared derecha, bóveda, techo, hastiales, nichos y superficies custom.</w:t>
      </w:r>
    </w:p>
    <w:p>
      <w:pPr>
        <w:pStyle w:val="ListBullet"/>
      </w:pPr>
      <w:r>
        <w:t>Múltiples calzadas, mediana, galerías laterales y ramales.</w:t>
      </w:r>
    </w:p>
    <w:p>
      <w:pPr>
        <w:pStyle w:val="ListBullet"/>
      </w:pPr>
      <w:r>
        <w:t>Validación topológica: contorno cerrado, sin autointersecciones y normales coherentes.</w:t>
      </w:r>
    </w:p>
    <w:p>
      <w:pPr>
        <w:pStyle w:val="Heading2"/>
      </w:pPr>
      <w:r>
        <w:t>6.3 Obstáculos y oclusión</w:t>
      </w:r>
    </w:p>
    <w:p>
      <w:pPr>
        <w:pStyle w:val="ListBullet"/>
      </w:pPr>
      <w:r>
        <w:t>Elementos estructurales, bandejas, señales, ventiladores, vigas, pórticos y objetos custom.</w:t>
      </w:r>
    </w:p>
    <w:p>
      <w:pPr>
        <w:pStyle w:val="ListBullet"/>
      </w:pPr>
      <w:r>
        <w:t>El cálculo directo deberá admitir oclusión mediante intersección rayo-triángulo cuando el usuario la active.</w:t>
      </w:r>
    </w:p>
    <w:p>
      <w:pPr>
        <w:pStyle w:val="ListBullet"/>
      </w:pPr>
      <w:r>
        <w:t>La radiosidad utilizará visibilidad entre parches con aceleración espacial BVH o estructura equivalente.</w:t>
      </w:r>
    </w:p>
    <w:p>
      <w:pPr>
        <w:pStyle w:val="ListBullet"/>
      </w:pPr>
      <w:r>
        <w:t>El modo normativo podrá desactivar obstáculos si la norma exige una geometría idealizada; la desviación se registrará.</w:t>
      </w:r>
    </w:p>
    <w:p>
      <w:pPr>
        <w:pStyle w:val="Heading1"/>
      </w:pPr>
      <w:r>
        <w:t>7. Fotometrías LDT e IES</w:t>
      </w:r>
    </w:p>
    <w:p>
      <w:pPr>
        <w:pStyle w:val="Heading2"/>
      </w:pPr>
      <w:r>
        <w:t>7.1 Importación y normalización</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PHO-001</w:t>
            </w:r>
          </w:p>
        </w:tc>
        <w:tc>
          <w:tcPr>
            <w:tcW w:type="dxa" w:w="2464"/>
            <w:vAlign w:val="center"/>
          </w:tcPr>
          <w:p>
            <w:r/>
            <w:r>
              <w:rPr>
                <w:b w:val="0"/>
                <w:sz w:val="16"/>
              </w:rPr>
              <w:t>Importar EULUMDAT LDT y variantes habituales del formato.</w:t>
            </w:r>
          </w:p>
        </w:tc>
        <w:tc>
          <w:tcPr>
            <w:tcW w:type="dxa" w:w="2464"/>
            <w:vAlign w:val="center"/>
          </w:tcPr>
          <w:p>
            <w:r/>
            <w:r>
              <w:rPr>
                <w:b w:val="0"/>
                <w:sz w:val="16"/>
              </w:rPr>
              <w:t>Crítica</w:t>
            </w:r>
          </w:p>
        </w:tc>
        <w:tc>
          <w:tcPr>
            <w:tcW w:type="dxa" w:w="2464"/>
            <w:vAlign w:val="center"/>
          </w:tcPr>
          <w:p>
            <w:r/>
            <w:r>
              <w:rPr>
                <w:b w:val="0"/>
                <w:sz w:val="16"/>
              </w:rPr>
              <w:t>Archivos válidos se normalizan; archivos corruptos producen errores localizados y comprensibles.</w:t>
            </w:r>
          </w:p>
        </w:tc>
      </w:tr>
      <w:tr>
        <w:tc>
          <w:tcPr>
            <w:tcW w:type="dxa" w:w="2464"/>
            <w:vAlign w:val="center"/>
          </w:tcPr>
          <w:p>
            <w:r/>
            <w:r>
              <w:rPr>
                <w:b/>
                <w:sz w:val="16"/>
              </w:rPr>
              <w:t>PHO-002</w:t>
            </w:r>
          </w:p>
        </w:tc>
        <w:tc>
          <w:tcPr>
            <w:tcW w:type="dxa" w:w="2464"/>
            <w:vAlign w:val="center"/>
          </w:tcPr>
          <w:p>
            <w:r/>
            <w:r>
              <w:rPr>
                <w:b w:val="0"/>
                <w:sz w:val="16"/>
              </w:rPr>
              <w:t>Importar IES LM-63 en revisiones 1986, 1991, 1995, 2002 y posteriores compatibles.</w:t>
            </w:r>
          </w:p>
        </w:tc>
        <w:tc>
          <w:tcPr>
            <w:tcW w:type="dxa" w:w="2464"/>
            <w:vAlign w:val="center"/>
          </w:tcPr>
          <w:p>
            <w:r/>
            <w:r>
              <w:rPr>
                <w:b w:val="0"/>
                <w:sz w:val="16"/>
              </w:rPr>
              <w:t>Crítica</w:t>
            </w:r>
          </w:p>
        </w:tc>
        <w:tc>
          <w:tcPr>
            <w:tcW w:type="dxa" w:w="2464"/>
            <w:vAlign w:val="center"/>
          </w:tcPr>
          <w:p>
            <w:r/>
            <w:r>
              <w:rPr>
                <w:b w:val="0"/>
                <w:sz w:val="16"/>
              </w:rPr>
              <w:t>Se interpretan correctamente unidades, tipo fotométrico, tilt y factores multiplicadores.</w:t>
            </w:r>
          </w:p>
        </w:tc>
      </w:tr>
      <w:tr>
        <w:tc>
          <w:tcPr>
            <w:tcW w:type="dxa" w:w="2464"/>
            <w:vAlign w:val="center"/>
          </w:tcPr>
          <w:p>
            <w:r/>
            <w:r>
              <w:rPr>
                <w:b/>
                <w:sz w:val="16"/>
              </w:rPr>
              <w:t>PHO-003</w:t>
            </w:r>
          </w:p>
        </w:tc>
        <w:tc>
          <w:tcPr>
            <w:tcW w:type="dxa" w:w="2464"/>
            <w:vAlign w:val="center"/>
          </w:tcPr>
          <w:p>
            <w:r/>
            <w:r>
              <w:rPr>
                <w:b w:val="0"/>
                <w:sz w:val="16"/>
              </w:rPr>
              <w:t>Convertir toda fotometría a una representación interna única C-γ en candelas absolutas.</w:t>
            </w:r>
          </w:p>
        </w:tc>
        <w:tc>
          <w:tcPr>
            <w:tcW w:type="dxa" w:w="2464"/>
            <w:vAlign w:val="center"/>
          </w:tcPr>
          <w:p>
            <w:r/>
            <w:r>
              <w:rPr>
                <w:b w:val="0"/>
                <w:sz w:val="16"/>
              </w:rPr>
              <w:t>Crítica</w:t>
            </w:r>
          </w:p>
        </w:tc>
        <w:tc>
          <w:tcPr>
            <w:tcW w:type="dxa" w:w="2464"/>
            <w:vAlign w:val="center"/>
          </w:tcPr>
          <w:p>
            <w:r/>
            <w:r>
              <w:rPr>
                <w:b w:val="0"/>
                <w:sz w:val="16"/>
              </w:rPr>
              <w:t>El cálculo no depende del formato original tras la importación.</w:t>
            </w:r>
          </w:p>
        </w:tc>
      </w:tr>
      <w:tr>
        <w:tc>
          <w:tcPr>
            <w:tcW w:type="dxa" w:w="2464"/>
            <w:vAlign w:val="center"/>
          </w:tcPr>
          <w:p>
            <w:r/>
            <w:r>
              <w:rPr>
                <w:b/>
                <w:sz w:val="16"/>
              </w:rPr>
              <w:t>PHO-004</w:t>
            </w:r>
          </w:p>
        </w:tc>
        <w:tc>
          <w:tcPr>
            <w:tcW w:type="dxa" w:w="2464"/>
            <w:vAlign w:val="center"/>
          </w:tcPr>
          <w:p>
            <w:r/>
            <w:r>
              <w:rPr>
                <w:b w:val="0"/>
                <w:sz w:val="16"/>
              </w:rPr>
              <w:t>Conservar metadatos, archivo original, hash SHA-256, fecha, fabricante, modelo y versión.</w:t>
            </w:r>
          </w:p>
        </w:tc>
        <w:tc>
          <w:tcPr>
            <w:tcW w:type="dxa" w:w="2464"/>
            <w:vAlign w:val="center"/>
          </w:tcPr>
          <w:p>
            <w:r/>
            <w:r>
              <w:rPr>
                <w:b w:val="0"/>
                <w:sz w:val="16"/>
              </w:rPr>
              <w:t>Alta</w:t>
            </w:r>
          </w:p>
        </w:tc>
        <w:tc>
          <w:tcPr>
            <w:tcW w:type="dxa" w:w="2464"/>
            <w:vAlign w:val="center"/>
          </w:tcPr>
          <w:p>
            <w:r/>
            <w:r>
              <w:rPr>
                <w:b w:val="0"/>
                <w:sz w:val="16"/>
              </w:rPr>
              <w:t>La trazabilidad permite identificar exactamente la fuente.</w:t>
            </w:r>
          </w:p>
        </w:tc>
      </w:tr>
      <w:tr>
        <w:tc>
          <w:tcPr>
            <w:tcW w:type="dxa" w:w="2464"/>
            <w:vAlign w:val="center"/>
          </w:tcPr>
          <w:p>
            <w:r/>
            <w:r>
              <w:rPr>
                <w:b/>
                <w:sz w:val="16"/>
              </w:rPr>
              <w:t>PHO-005</w:t>
            </w:r>
          </w:p>
        </w:tc>
        <w:tc>
          <w:tcPr>
            <w:tcW w:type="dxa" w:w="2464"/>
            <w:vAlign w:val="center"/>
          </w:tcPr>
          <w:p>
            <w:r/>
            <w:r>
              <w:rPr>
                <w:b w:val="0"/>
                <w:sz w:val="16"/>
              </w:rPr>
              <w:t>Detectar fotometría absoluta o relativa y normalizar cd, cd/klm y flujo de lámpara o luminaria.</w:t>
            </w:r>
          </w:p>
        </w:tc>
        <w:tc>
          <w:tcPr>
            <w:tcW w:type="dxa" w:w="2464"/>
            <w:vAlign w:val="center"/>
          </w:tcPr>
          <w:p>
            <w:r/>
            <w:r>
              <w:rPr>
                <w:b w:val="0"/>
                <w:sz w:val="16"/>
              </w:rPr>
              <w:t>Crítica</w:t>
            </w:r>
          </w:p>
        </w:tc>
        <w:tc>
          <w:tcPr>
            <w:tcW w:type="dxa" w:w="2464"/>
            <w:vAlign w:val="center"/>
          </w:tcPr>
          <w:p>
            <w:r/>
            <w:r>
              <w:rPr>
                <w:b w:val="0"/>
                <w:sz w:val="16"/>
              </w:rPr>
              <w:t>Las intensidades absolutas coinciden con el flujo declarado y el multiplicador del archivo.</w:t>
            </w:r>
          </w:p>
        </w:tc>
      </w:tr>
    </w:tbl>
    <w:p/>
    <w:p>
      <w:pPr>
        <w:pStyle w:val="Heading2"/>
      </w:pPr>
      <w:r>
        <w:t>7.2 Modelo interno</w:t>
      </w:r>
    </w:p>
    <w:p>
      <w:pPr>
        <w:pStyle w:val="CodeBlock"/>
      </w:pPr>
      <w:r>
        <w:t>PhotometricDataset</w:t>
        <w:br/>
        <w:t xml:space="preserve">  id, version, source_format, source_hash</w:t>
        <w:br/>
        <w:t xml:space="preserve">  coordinate_system: C_GAMMA</w:t>
        <w:br/>
        <w:t xml:space="preserve">  c_angles_rad: float64[nC]</w:t>
        <w:br/>
        <w:t xml:space="preserve">  gamma_angles_rad: float64[nG]</w:t>
        <w:br/>
        <w:t xml:space="preserve">  intensities_cd: float64[nC, nG]</w:t>
        <w:br/>
        <w:t xml:space="preserve">  luminous_flux_lm: float</w:t>
        <w:br/>
        <w:t xml:space="preserve">  input_power_w: float | None</w:t>
        <w:br/>
        <w:t xml:space="preserve">  absolute_photometry: bool</w:t>
        <w:br/>
        <w:t xml:space="preserve">  symmetry: NONE | C0_C180 | C90_C270 | QUADRANT | ROTATIONAL</w:t>
        <w:br/>
        <w:t xml:space="preserve">  measurement_tilt_rad: float</w:t>
        <w:br/>
        <w:t xml:space="preserve">  metadata: dict</w:t>
        <w:br/>
        <w:t xml:space="preserve">  validation_report: PhotometryValidationReport</w:t>
        <w:br/>
      </w:r>
    </w:p>
    <w:p>
      <w:pPr>
        <w:pStyle w:val="Heading2"/>
      </w:pPr>
      <w:r>
        <w:t>7.3 Interpolación de intensidad</w:t>
      </w:r>
    </w:p>
    <w:p>
      <w:r>
        <w:t>La interpolación ordinaria será bilineal entre los cuatro valores adyacentes en C y γ, equivalente a aplicar interpolación lineal sucesiva como prescribe CIE 140. El motor tratará C como eje periódico. No extrapolará fuera del intervalo de γ medido salvo que una política explícita lo permita; por defecto devolverá cero fuera del dominio físico publicado y una advertencia de cobertura.</w:t>
      </w:r>
    </w:p>
    <w:p>
      <w:pPr>
        <w:pStyle w:val="ListBullet"/>
      </w:pPr>
      <w:r>
        <w:t>Coincidencia exacta con nodos sin introducir error de redondeo.</w:t>
      </w:r>
    </w:p>
    <w:p>
      <w:pPr>
        <w:pStyle w:val="ListBullet"/>
      </w:pPr>
      <w:r>
        <w:t>Gestión de duplicidad 0°/360°.</w:t>
      </w:r>
    </w:p>
    <w:p>
      <w:pPr>
        <w:pStyle w:val="ListBullet"/>
      </w:pPr>
      <w:r>
        <w:t>Expansión lógica de simetrías sin duplicar necesariamente la matriz.</w:t>
      </w:r>
    </w:p>
    <w:p>
      <w:pPr>
        <w:pStyle w:val="ListBullet"/>
      </w:pPr>
      <w:r>
        <w:t>Rechazo de intensidades negativas no justificadas.</w:t>
      </w:r>
    </w:p>
    <w:p>
      <w:pPr>
        <w:pStyle w:val="ListBullet"/>
      </w:pPr>
      <w:r>
        <w:t>Aviso cuando los intervalos superen 5° en C o 2,5° en γ para cálculos normativos de carretera/túnel.</w:t>
      </w:r>
    </w:p>
    <w:p>
      <w:pPr>
        <w:pStyle w:val="ListBullet"/>
      </w:pPr>
      <w:r>
        <w:t>Opción de interpolación de mayor orden solo experimental y nunca predeterminada.</w:t>
      </w:r>
    </w:p>
    <w:p>
      <w:pPr>
        <w:pStyle w:val="Heading1"/>
      </w:pPr>
      <w:r>
        <w:t>8. Flujo, potencia y regulación</w:t>
      </w:r>
    </w:p>
    <w:p>
      <w:r>
        <w:t>El flujo lumínico será la variable física primaria. La potencia se obtendrá de la variante o curva de regulación y nunca se inferirá exclusivamente mediante proporcionalidad salvo que el usuario seleccione explícitamente el modelo lineal.</w:t>
      </w:r>
    </w:p>
    <w:p>
      <w:pPr>
        <w:pStyle w:val="CodeBlock"/>
      </w:pPr>
      <w:r>
        <w:t>DimmingProfile</w:t>
        <w:br/>
        <w:t xml:space="preserve">  mode: LINEAR | TABULATED | PHOTOMETRIC_VARIANTS</w:t>
        <w:br/>
        <w:t xml:space="preserve">  control_points:</w:t>
        <w:br/>
        <w:t xml:space="preserve">    - control_pct</w:t>
        <w:br/>
        <w:t xml:space="preserve">      luminous_flux_lm</w:t>
        <w:br/>
        <w:t xml:space="preserve">      input_power_w</w:t>
        <w:br/>
        <w:t xml:space="preserve">      efficacy_lm_per_w  # calculada, no obligatoria de entrada</w:t>
        <w:br/>
        <w:t xml:space="preserve">  interpolation: LINEAR_MONOTONIC</w:t>
        <w:br/>
        <w:t xml:space="preserve">  min_control_pct</w:t>
        <w:br/>
        <w:t xml:space="preserve">  max_control_pct</w:t>
        <w:br/>
        <w:t xml:space="preserve">  standby_power_w</w:t>
        <w:br/>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DIM-001</w:t>
            </w:r>
          </w:p>
        </w:tc>
        <w:tc>
          <w:tcPr>
            <w:tcW w:type="dxa" w:w="2464"/>
            <w:vAlign w:val="center"/>
          </w:tcPr>
          <w:p>
            <w:r/>
            <w:r>
              <w:rPr>
                <w:b w:val="0"/>
                <w:sz w:val="16"/>
              </w:rPr>
              <w:t>Permitir escala lineal de intensidades con flujo.</w:t>
            </w:r>
          </w:p>
        </w:tc>
        <w:tc>
          <w:tcPr>
            <w:tcW w:type="dxa" w:w="2464"/>
            <w:vAlign w:val="center"/>
          </w:tcPr>
          <w:p>
            <w:r/>
            <w:r>
              <w:rPr>
                <w:b w:val="0"/>
                <w:sz w:val="16"/>
              </w:rPr>
              <w:t>Alta</w:t>
            </w:r>
          </w:p>
        </w:tc>
        <w:tc>
          <w:tcPr>
            <w:tcW w:type="dxa" w:w="2464"/>
            <w:vAlign w:val="center"/>
          </w:tcPr>
          <w:p>
            <w:r/>
            <w:r>
              <w:rPr>
                <w:b w:val="0"/>
                <w:sz w:val="16"/>
              </w:rPr>
              <w:t>A 50 % de flujo, todas las intensidades se escalan por 0,5.</w:t>
            </w:r>
          </w:p>
        </w:tc>
      </w:tr>
      <w:tr>
        <w:tc>
          <w:tcPr>
            <w:tcW w:type="dxa" w:w="2464"/>
            <w:vAlign w:val="center"/>
          </w:tcPr>
          <w:p>
            <w:r/>
            <w:r>
              <w:rPr>
                <w:b/>
                <w:sz w:val="16"/>
              </w:rPr>
              <w:t>DIM-002</w:t>
            </w:r>
          </w:p>
        </w:tc>
        <w:tc>
          <w:tcPr>
            <w:tcW w:type="dxa" w:w="2464"/>
            <w:vAlign w:val="center"/>
          </w:tcPr>
          <w:p>
            <w:r/>
            <w:r>
              <w:rPr>
                <w:b w:val="0"/>
                <w:sz w:val="16"/>
              </w:rPr>
              <w:t>Permitir curva tabulada independiente de flujo y potencia.</w:t>
            </w:r>
          </w:p>
        </w:tc>
        <w:tc>
          <w:tcPr>
            <w:tcW w:type="dxa" w:w="2464"/>
            <w:vAlign w:val="center"/>
          </w:tcPr>
          <w:p>
            <w:r/>
            <w:r>
              <w:rPr>
                <w:b w:val="0"/>
                <w:sz w:val="16"/>
              </w:rPr>
              <w:t>Crítica</w:t>
            </w:r>
          </w:p>
        </w:tc>
        <w:tc>
          <w:tcPr>
            <w:tcW w:type="dxa" w:w="2464"/>
            <w:vAlign w:val="center"/>
          </w:tcPr>
          <w:p>
            <w:r/>
            <w:r>
              <w:rPr>
                <w:b w:val="0"/>
                <w:sz w:val="16"/>
              </w:rPr>
              <w:t>La interpolación conserva monotonicidad y no produce potencias negativas.</w:t>
            </w:r>
          </w:p>
        </w:tc>
      </w:tr>
      <w:tr>
        <w:tc>
          <w:tcPr>
            <w:tcW w:type="dxa" w:w="2464"/>
            <w:vAlign w:val="center"/>
          </w:tcPr>
          <w:p>
            <w:r/>
            <w:r>
              <w:rPr>
                <w:b/>
                <w:sz w:val="16"/>
              </w:rPr>
              <w:t>DIM-003</w:t>
            </w:r>
          </w:p>
        </w:tc>
        <w:tc>
          <w:tcPr>
            <w:tcW w:type="dxa" w:w="2464"/>
            <w:vAlign w:val="center"/>
          </w:tcPr>
          <w:p>
            <w:r/>
            <w:r>
              <w:rPr>
                <w:b w:val="0"/>
                <w:sz w:val="16"/>
              </w:rPr>
              <w:t>Permitir fotometrías distintas por variante de regulación o configuración óptica.</w:t>
            </w:r>
          </w:p>
        </w:tc>
        <w:tc>
          <w:tcPr>
            <w:tcW w:type="dxa" w:w="2464"/>
            <w:vAlign w:val="center"/>
          </w:tcPr>
          <w:p>
            <w:r/>
            <w:r>
              <w:rPr>
                <w:b w:val="0"/>
                <w:sz w:val="16"/>
              </w:rPr>
              <w:t>Alta</w:t>
            </w:r>
          </w:p>
        </w:tc>
        <w:tc>
          <w:tcPr>
            <w:tcW w:type="dxa" w:w="2464"/>
            <w:vAlign w:val="center"/>
          </w:tcPr>
          <w:p>
            <w:r/>
            <w:r>
              <w:rPr>
                <w:b w:val="0"/>
                <w:sz w:val="16"/>
              </w:rPr>
              <w:t>El escenario selecciona el dataset correcto y no solo un factor escalar.</w:t>
            </w:r>
          </w:p>
        </w:tc>
      </w:tr>
      <w:tr>
        <w:tc>
          <w:tcPr>
            <w:tcW w:type="dxa" w:w="2464"/>
            <w:vAlign w:val="center"/>
          </w:tcPr>
          <w:p>
            <w:r/>
            <w:r>
              <w:rPr>
                <w:b/>
                <w:sz w:val="16"/>
              </w:rPr>
              <w:t>DIM-004</w:t>
            </w:r>
          </w:p>
        </w:tc>
        <w:tc>
          <w:tcPr>
            <w:tcW w:type="dxa" w:w="2464"/>
            <w:vAlign w:val="center"/>
          </w:tcPr>
          <w:p>
            <w:r/>
            <w:r>
              <w:rPr>
                <w:b w:val="0"/>
                <w:sz w:val="16"/>
              </w:rPr>
              <w:t>Permitir margen de diseño porcentual configurable sin alterar el archivo fotométrico original.</w:t>
            </w:r>
          </w:p>
        </w:tc>
        <w:tc>
          <w:tcPr>
            <w:tcW w:type="dxa" w:w="2464"/>
            <w:vAlign w:val="center"/>
          </w:tcPr>
          <w:p>
            <w:r/>
            <w:r>
              <w:rPr>
                <w:b w:val="0"/>
                <w:sz w:val="16"/>
              </w:rPr>
              <w:t>Alta</w:t>
            </w:r>
          </w:p>
        </w:tc>
        <w:tc>
          <w:tcPr>
            <w:tcW w:type="dxa" w:w="2464"/>
            <w:vAlign w:val="center"/>
          </w:tcPr>
          <w:p>
            <w:r/>
            <w:r>
              <w:rPr>
                <w:b w:val="0"/>
                <w:sz w:val="16"/>
              </w:rPr>
              <w:t>El margen se registra como factor separado en la cadena de cálculo.</w:t>
            </w:r>
          </w:p>
        </w:tc>
      </w:tr>
    </w:tbl>
    <w:p/>
    <w:p>
      <w:pPr>
        <w:pStyle w:val="Heading1"/>
      </w:pPr>
      <w:r>
        <w:t>9. Pavimentos CIE 144 y superficies personalizadas</w:t>
      </w:r>
    </w:p>
    <w:p>
      <w:pPr>
        <w:pStyle w:val="Heading2"/>
      </w:pPr>
      <w:r>
        <w:t>9.1 Biblioteca normativa</w:t>
      </w:r>
    </w:p>
    <w:p>
      <w:r>
        <w:t>La biblioteca inicial incluirá todas las tablas normalizadas de CIE 144: C1, C2, R1, R2, R3, R4, N1, N2, N3, N4, W1, W2, W3 y W4. Las tablas se almacenarán como datos versionados, con ejes β y tan γ, valores r multiplicados por 10 000, Qd, Q0, S1, condición seca/mojada y referencia normativa.</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SUR-001</w:t>
            </w:r>
          </w:p>
        </w:tc>
        <w:tc>
          <w:tcPr>
            <w:tcW w:type="dxa" w:w="2464"/>
            <w:vAlign w:val="center"/>
          </w:tcPr>
          <w:p>
            <w:r/>
            <w:r>
              <w:rPr>
                <w:b w:val="0"/>
                <w:sz w:val="16"/>
              </w:rPr>
              <w:t>No interpretar celdas vacías como cero.</w:t>
            </w:r>
          </w:p>
        </w:tc>
        <w:tc>
          <w:tcPr>
            <w:tcW w:type="dxa" w:w="2464"/>
            <w:vAlign w:val="center"/>
          </w:tcPr>
          <w:p>
            <w:r/>
            <w:r>
              <w:rPr>
                <w:b w:val="0"/>
                <w:sz w:val="16"/>
              </w:rPr>
              <w:t>Crítica</w:t>
            </w:r>
          </w:p>
        </w:tc>
        <w:tc>
          <w:tcPr>
            <w:tcW w:type="dxa" w:w="2464"/>
            <w:vAlign w:val="center"/>
          </w:tcPr>
          <w:p>
            <w:r/>
            <w:r>
              <w:rPr>
                <w:b w:val="0"/>
                <w:sz w:val="16"/>
              </w:rPr>
              <w:t>Una consulta fuera de cobertura devuelve estado OUT_OF_DOMAIN y no participa silenciosamente.</w:t>
            </w:r>
          </w:p>
        </w:tc>
      </w:tr>
      <w:tr>
        <w:tc>
          <w:tcPr>
            <w:tcW w:type="dxa" w:w="2464"/>
            <w:vAlign w:val="center"/>
          </w:tcPr>
          <w:p>
            <w:r/>
            <w:r>
              <w:rPr>
                <w:b/>
                <w:sz w:val="16"/>
              </w:rPr>
              <w:t>SUR-002</w:t>
            </w:r>
          </w:p>
        </w:tc>
        <w:tc>
          <w:tcPr>
            <w:tcW w:type="dxa" w:w="2464"/>
            <w:vAlign w:val="center"/>
          </w:tcPr>
          <w:p>
            <w:r/>
            <w:r>
              <w:rPr>
                <w:b w:val="0"/>
                <w:sz w:val="16"/>
              </w:rPr>
              <w:t>Interpolar linealmente en β y tan γ entre cuatro valores válidos.</w:t>
            </w:r>
          </w:p>
        </w:tc>
        <w:tc>
          <w:tcPr>
            <w:tcW w:type="dxa" w:w="2464"/>
            <w:vAlign w:val="center"/>
          </w:tcPr>
          <w:p>
            <w:r/>
            <w:r>
              <w:rPr>
                <w:b w:val="0"/>
                <w:sz w:val="16"/>
              </w:rPr>
              <w:t>Crítica</w:t>
            </w:r>
          </w:p>
        </w:tc>
        <w:tc>
          <w:tcPr>
            <w:tcW w:type="dxa" w:w="2464"/>
            <w:vAlign w:val="center"/>
          </w:tcPr>
          <w:p>
            <w:r/>
            <w:r>
              <w:rPr>
                <w:b w:val="0"/>
                <w:sz w:val="16"/>
              </w:rPr>
              <w:t>Los tests de nodos, bordes e interiores coinciden con cálculos manuales.</w:t>
            </w:r>
          </w:p>
        </w:tc>
      </w:tr>
      <w:tr>
        <w:tc>
          <w:tcPr>
            <w:tcW w:type="dxa" w:w="2464"/>
            <w:vAlign w:val="center"/>
          </w:tcPr>
          <w:p>
            <w:r/>
            <w:r>
              <w:rPr>
                <w:b/>
                <w:sz w:val="16"/>
              </w:rPr>
              <w:t>SUR-003</w:t>
            </w:r>
          </w:p>
        </w:tc>
        <w:tc>
          <w:tcPr>
            <w:tcW w:type="dxa" w:w="2464"/>
            <w:vAlign w:val="center"/>
          </w:tcPr>
          <w:p>
            <w:r/>
            <w:r>
              <w:rPr>
                <w:b w:val="0"/>
                <w:sz w:val="16"/>
              </w:rPr>
              <w:t>No extrapolar hacia regiones vacías de la tabla.</w:t>
            </w:r>
          </w:p>
        </w:tc>
        <w:tc>
          <w:tcPr>
            <w:tcW w:type="dxa" w:w="2464"/>
            <w:vAlign w:val="center"/>
          </w:tcPr>
          <w:p>
            <w:r/>
            <w:r>
              <w:rPr>
                <w:b w:val="0"/>
                <w:sz w:val="16"/>
              </w:rPr>
              <w:t>Crítica</w:t>
            </w:r>
          </w:p>
        </w:tc>
        <w:tc>
          <w:tcPr>
            <w:tcW w:type="dxa" w:w="2464"/>
            <w:vAlign w:val="center"/>
          </w:tcPr>
          <w:p>
            <w:r/>
            <w:r>
              <w:rPr>
                <w:b w:val="0"/>
                <w:sz w:val="16"/>
              </w:rPr>
              <w:t>Se emite error o advertencia según política configurada.</w:t>
            </w:r>
          </w:p>
        </w:tc>
      </w:tr>
      <w:tr>
        <w:tc>
          <w:tcPr>
            <w:tcW w:type="dxa" w:w="2464"/>
            <w:vAlign w:val="center"/>
          </w:tcPr>
          <w:p>
            <w:r/>
            <w:r>
              <w:rPr>
                <w:b/>
                <w:sz w:val="16"/>
              </w:rPr>
              <w:t>SUR-004</w:t>
            </w:r>
          </w:p>
        </w:tc>
        <w:tc>
          <w:tcPr>
            <w:tcW w:type="dxa" w:w="2464"/>
            <w:vAlign w:val="center"/>
          </w:tcPr>
          <w:p>
            <w:r/>
            <w:r>
              <w:rPr>
                <w:b w:val="0"/>
                <w:sz w:val="16"/>
              </w:rPr>
              <w:t>Aplicar una única superficie de calzada a todo el dominio, sin diferenciación por carril en la primera versión.</w:t>
            </w:r>
          </w:p>
        </w:tc>
        <w:tc>
          <w:tcPr>
            <w:tcW w:type="dxa" w:w="2464"/>
            <w:vAlign w:val="center"/>
          </w:tcPr>
          <w:p>
            <w:r/>
            <w:r>
              <w:rPr>
                <w:b w:val="0"/>
                <w:sz w:val="16"/>
              </w:rPr>
              <w:t>Alta</w:t>
            </w:r>
          </w:p>
        </w:tc>
        <w:tc>
          <w:tcPr>
            <w:tcW w:type="dxa" w:w="2464"/>
            <w:vAlign w:val="center"/>
          </w:tcPr>
          <w:p>
            <w:r/>
            <w:r>
              <w:rPr>
                <w:b w:val="0"/>
                <w:sz w:val="16"/>
              </w:rPr>
              <w:t>Todos los carriles referencian el mismo RoadSurfaceProfile.</w:t>
            </w:r>
          </w:p>
        </w:tc>
      </w:tr>
    </w:tbl>
    <w:p/>
    <w:p>
      <w:pPr>
        <w:pStyle w:val="Heading2"/>
      </w:pPr>
      <w:r>
        <w:t>9.2 Superficies personalizadas</w:t>
      </w:r>
    </w:p>
    <w:p>
      <w:pPr>
        <w:pStyle w:val="ListBullet"/>
      </w:pPr>
      <w:r>
        <w:t>Importación de r-table completa en formato interno, CSV controlado o formato estándar CIE.</w:t>
      </w:r>
    </w:p>
    <w:p>
      <w:pPr>
        <w:pStyle w:val="ListBullet"/>
      </w:pPr>
      <w:r>
        <w:t>Creación a partir de tabla base reescalada por Qd o Q0.</w:t>
      </w:r>
    </w:p>
    <w:p>
      <w:pPr>
        <w:pStyle w:val="ListBullet"/>
      </w:pPr>
      <w:r>
        <w:t>Selección por S1 y reescalado de claridad.</w:t>
      </w:r>
    </w:p>
    <w:p>
      <w:pPr>
        <w:pStyle w:val="ListBullet"/>
      </w:pPr>
      <w:r>
        <w:t>Identificación de estado nuevo, envejecido, sucio, lavado o mojado.</w:t>
      </w:r>
    </w:p>
    <w:p>
      <w:pPr>
        <w:pStyle w:val="ListBullet"/>
      </w:pPr>
      <w:r>
        <w:t>Metadatos de laboratorio, fecha, muestra, temperatura, humedad, método y responsable.</w:t>
      </w:r>
    </w:p>
    <w:p>
      <w:pPr>
        <w:pStyle w:val="ListBullet"/>
      </w:pPr>
      <w:r>
        <w:t>Versionado inmutable: una modificación crea una nueva versión.</w:t>
      </w:r>
    </w:p>
    <w:p>
      <w:pPr>
        <w:pStyle w:val="Heading2"/>
      </w:pPr>
      <w:r>
        <w:t>9.3 Envejecimiento y humedad</w:t>
      </w:r>
    </w:p>
    <w:p>
      <w:r>
        <w:t>El motor no inventará una conversión universal entre pavimento seco, envejecido y mojado. Cada condición se representará mediante una r-table específica, una tabla normativa W o una tabla personalizada. Se podrán asociar varias condiciones a un mismo pavimento lógico y seleccionarlas por escenario.</w:t>
      </w:r>
    </w:p>
    <w:p>
      <w:pPr>
        <w:pStyle w:val="Heading1"/>
      </w:pPr>
      <w:r>
        <w:t>10. Paredes, techo y superficies del túnel</w:t>
      </w:r>
    </w:p>
    <w:p>
      <w:r>
        <w:t>Las paredes, techo, bóveda y elementos custom se modelarán inicialmente como superficies difusas lambertianas para iluminancia, luminancia difusa e interreflexiones. Cada superficie tendrá reflectancia hemisférica visible, factor de mantenimiento, color de visualización y estado de suciedad. La calzada conservará su modelo direccional CIE 144 para luminancia observada.</w:t>
      </w:r>
    </w:p>
    <w:p>
      <w:pPr>
        <w:pStyle w:val="CodeBlock"/>
      </w:pPr>
      <w:r>
        <w:t>SurfaceMaterial</w:t>
        <w:br/>
        <w:t xml:space="preserve">  id, name, version</w:t>
        <w:br/>
        <w:t xml:space="preserve">  category: ROAD_CIE144 | LAMBERTIAN | CUSTOM</w:t>
        <w:br/>
        <w:t xml:space="preserve">  reflectance: float in [0,1]</w:t>
        <w:br/>
        <w:t xml:space="preserve">  maintenance_factor: float in (0,1]</w:t>
        <w:br/>
        <w:t xml:space="preserve">  cie144_table_id: optional</w:t>
        <w:br/>
        <w:t xml:space="preserve">  custom_brdf_id: optional reserved</w:t>
        <w:br/>
        <w:t xml:space="preserve">  color_srgb: optional</w:t>
        <w:br/>
        <w:t xml:space="preserve">  notes, source, test_certificate</w:t>
        <w:br/>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MAT-001</w:t>
            </w:r>
          </w:p>
        </w:tc>
        <w:tc>
          <w:tcPr>
            <w:tcW w:type="dxa" w:w="2464"/>
            <w:vAlign w:val="center"/>
          </w:tcPr>
          <w:p>
            <w:r/>
            <w:r>
              <w:rPr>
                <w:b w:val="0"/>
                <w:sz w:val="16"/>
              </w:rPr>
              <w:t>Permitir materiales distintos por tramo y por superficie.</w:t>
            </w:r>
          </w:p>
        </w:tc>
        <w:tc>
          <w:tcPr>
            <w:tcW w:type="dxa" w:w="2464"/>
            <w:vAlign w:val="center"/>
          </w:tcPr>
          <w:p>
            <w:r/>
            <w:r>
              <w:rPr>
                <w:b w:val="0"/>
                <w:sz w:val="16"/>
              </w:rPr>
              <w:t>Alta</w:t>
            </w:r>
          </w:p>
        </w:tc>
        <w:tc>
          <w:tcPr>
            <w:tcW w:type="dxa" w:w="2464"/>
            <w:vAlign w:val="center"/>
          </w:tcPr>
          <w:p>
            <w:r/>
            <w:r>
              <w:rPr>
                <w:b w:val="0"/>
                <w:sz w:val="16"/>
              </w:rPr>
              <w:t>Una pared puede cambiar de reflectancia en estaciones definidas.</w:t>
            </w:r>
          </w:p>
        </w:tc>
      </w:tr>
      <w:tr>
        <w:tc>
          <w:tcPr>
            <w:tcW w:type="dxa" w:w="2464"/>
            <w:vAlign w:val="center"/>
          </w:tcPr>
          <w:p>
            <w:r/>
            <w:r>
              <w:rPr>
                <w:b/>
                <w:sz w:val="16"/>
              </w:rPr>
              <w:t>MAT-002</w:t>
            </w:r>
          </w:p>
        </w:tc>
        <w:tc>
          <w:tcPr>
            <w:tcW w:type="dxa" w:w="2464"/>
            <w:vAlign w:val="center"/>
          </w:tcPr>
          <w:p>
            <w:r/>
            <w:r>
              <w:rPr>
                <w:b w:val="0"/>
                <w:sz w:val="16"/>
              </w:rPr>
              <w:t>Permitir superficies custom trianguladas.</w:t>
            </w:r>
          </w:p>
        </w:tc>
        <w:tc>
          <w:tcPr>
            <w:tcW w:type="dxa" w:w="2464"/>
            <w:vAlign w:val="center"/>
          </w:tcPr>
          <w:p>
            <w:r/>
            <w:r>
              <w:rPr>
                <w:b w:val="0"/>
                <w:sz w:val="16"/>
              </w:rPr>
              <w:t>Alta</w:t>
            </w:r>
          </w:p>
        </w:tc>
        <w:tc>
          <w:tcPr>
            <w:tcW w:type="dxa" w:w="2464"/>
            <w:vAlign w:val="center"/>
          </w:tcPr>
          <w:p>
            <w:r/>
            <w:r>
              <w:rPr>
                <w:b w:val="0"/>
                <w:sz w:val="16"/>
              </w:rPr>
              <w:t>Se integran en cálculo directo, oclusión y radiosidad.</w:t>
            </w:r>
          </w:p>
        </w:tc>
      </w:tr>
      <w:tr>
        <w:tc>
          <w:tcPr>
            <w:tcW w:type="dxa" w:w="2464"/>
            <w:vAlign w:val="center"/>
          </w:tcPr>
          <w:p>
            <w:r/>
            <w:r>
              <w:rPr>
                <w:b/>
                <w:sz w:val="16"/>
              </w:rPr>
              <w:t>MAT-003</w:t>
            </w:r>
          </w:p>
        </w:tc>
        <w:tc>
          <w:tcPr>
            <w:tcW w:type="dxa" w:w="2464"/>
            <w:vAlign w:val="center"/>
          </w:tcPr>
          <w:p>
            <w:r/>
            <w:r>
              <w:rPr>
                <w:b w:val="0"/>
                <w:sz w:val="16"/>
              </w:rPr>
              <w:t>Mantener separados reflectancia física y factor de mantenimiento.</w:t>
            </w:r>
          </w:p>
        </w:tc>
        <w:tc>
          <w:tcPr>
            <w:tcW w:type="dxa" w:w="2464"/>
            <w:vAlign w:val="center"/>
          </w:tcPr>
          <w:p>
            <w:r/>
            <w:r>
              <w:rPr>
                <w:b w:val="0"/>
                <w:sz w:val="16"/>
              </w:rPr>
              <w:t>Crítica</w:t>
            </w:r>
          </w:p>
        </w:tc>
        <w:tc>
          <w:tcPr>
            <w:tcW w:type="dxa" w:w="2464"/>
            <w:vAlign w:val="center"/>
          </w:tcPr>
          <w:p>
            <w:r/>
            <w:r>
              <w:rPr>
                <w:b w:val="0"/>
                <w:sz w:val="16"/>
              </w:rPr>
              <w:t>Los informes muestran ambos factores y su efecto.</w:t>
            </w:r>
          </w:p>
        </w:tc>
      </w:tr>
    </w:tbl>
    <w:p/>
    <w:p>
      <w:pPr>
        <w:pStyle w:val="Heading1"/>
      </w:pPr>
      <w:r>
        <w:t>11. Luminarias, filas, circuitos y disposiciones</w:t>
      </w:r>
    </w:p>
    <w:p>
      <w:pPr>
        <w:pStyle w:val="ListBullet"/>
      </w:pPr>
      <w:r>
        <w:t>Línea continua, axial, bilateral enfrentada, bilateral alternada, filas múltiples, pared, suspendida, proyectores y combinaciones.</w:t>
      </w:r>
    </w:p>
    <w:p>
      <w:pPr>
        <w:pStyle w:val="ListBullet"/>
      </w:pPr>
      <w:r>
        <w:t>Instancias individuales con posición 3D, orientación, tilt, rotación, fotometría, variante de regulación y circuito.</w:t>
      </w:r>
    </w:p>
    <w:p>
      <w:pPr>
        <w:pStyle w:val="ListBullet"/>
      </w:pPr>
      <w:r>
        <w:t>Generadores paramétricos por paso, progresiva inicial/final, altura, offset, fase y patrón.</w:t>
      </w:r>
    </w:p>
    <w:p>
      <w:pPr>
        <w:pStyle w:val="ListBullet"/>
      </w:pPr>
      <w:r>
        <w:t>Paso y altura variables por funciones o tablas.</w:t>
      </w:r>
    </w:p>
    <w:p>
      <w:pPr>
        <w:pStyle w:val="ListBullet"/>
      </w:pPr>
      <w:r>
        <w:t>Múltiples modelos y ópticas dentro del mismo tramo.</w:t>
      </w:r>
    </w:p>
    <w:p>
      <w:pPr>
        <w:pStyle w:val="ListBullet"/>
      </w:pPr>
      <w:r>
        <w:t>Grupos de encendido, circuitos de refuerzo, interior, emergencia y noche.</w:t>
      </w:r>
    </w:p>
    <w:p>
      <w:pPr>
        <w:pStyle w:val="ListBullet"/>
      </w:pPr>
      <w:r>
        <w:t>Herencia de parámetros desde fila y sobrescritura individual.</w:t>
      </w:r>
    </w:p>
    <w:p>
      <w:pPr>
        <w:pStyle w:val="ListBullet"/>
      </w:pPr>
      <w:r>
        <w:t>Bloqueo de variables para optimización.</w:t>
      </w:r>
    </w:p>
    <w:p>
      <w:pPr>
        <w:pStyle w:val="CodeBlock"/>
      </w:pPr>
      <w:r>
        <w:t>LuminaireInstance</w:t>
        <w:br/>
        <w:t xml:space="preserve">  id, row_id, circuit_id</w:t>
        <w:br/>
        <w:t xml:space="preserve">  position_xyz_m</w:t>
        <w:br/>
        <w:t xml:space="preserve">  orientation_rad, application_tilt_rad, rotation_rad</w:t>
        <w:br/>
        <w:t xml:space="preserve">  photometric_dataset_version_id</w:t>
        <w:br/>
        <w:t xml:space="preserve">  dimming_profile_id</w:t>
        <w:br/>
        <w:t xml:space="preserve">  control_level_pct</w:t>
        <w:br/>
        <w:t xml:space="preserve">  luminous_flux_factor</w:t>
        <w:br/>
        <w:t xml:space="preserve">  maintenance_factor</w:t>
        <w:br/>
        <w:t xml:space="preserve">  enabled</w:t>
        <w:br/>
      </w:r>
    </w:p>
    <w:p>
      <w:pPr>
        <w:pStyle w:val="Heading1"/>
      </w:pPr>
      <w:r>
        <w:t>12. Mallas de cálculo</w:t>
      </w:r>
    </w:p>
    <w:p>
      <w:pPr>
        <w:pStyle w:val="Heading2"/>
      </w:pPr>
      <w:r>
        <w:t>12.1 Tipos</w:t>
      </w:r>
    </w:p>
    <w:p>
      <w:pPr>
        <w:pStyle w:val="ListBullet"/>
      </w:pPr>
      <w:r>
        <w:t>Malla normativa automática según criterio activo.</w:t>
      </w:r>
    </w:p>
    <w:p>
      <w:pPr>
        <w:pStyle w:val="ListBullet"/>
      </w:pPr>
      <w:r>
        <w:t>Malla rectangular personalizada por separación o número de puntos.</w:t>
      </w:r>
    </w:p>
    <w:p>
      <w:pPr>
        <w:pStyle w:val="ListBullet"/>
      </w:pPr>
      <w:r>
        <w:t>Malla sobre sección 3D y superficies trianguladas.</w:t>
      </w:r>
    </w:p>
    <w:p>
      <w:pPr>
        <w:pStyle w:val="ListBullet"/>
      </w:pPr>
      <w:r>
        <w:t>Malla de alta resolución para mapas.</w:t>
      </w:r>
    </w:p>
    <w:p>
      <w:pPr>
        <w:pStyle w:val="ListBullet"/>
      </w:pPr>
      <w:r>
        <w:t>Malla adaptativa con refinamiento por gradiente.</w:t>
      </w:r>
    </w:p>
    <w:p>
      <w:pPr>
        <w:pStyle w:val="ListBullet"/>
      </w:pPr>
      <w:r>
        <w:t>Malla de validación bloqueada para benchmarks.</w:t>
      </w:r>
    </w:p>
    <w:p>
      <w:pPr>
        <w:pStyle w:val="Heading2"/>
      </w:pPr>
      <w:r>
        <w:t>12.2 Reglas</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GRID-001</w:t>
            </w:r>
          </w:p>
        </w:tc>
        <w:tc>
          <w:tcPr>
            <w:tcW w:type="dxa" w:w="2464"/>
            <w:vAlign w:val="center"/>
          </w:tcPr>
          <w:p>
            <w:r/>
            <w:r>
              <w:rPr>
                <w:b w:val="0"/>
                <w:sz w:val="16"/>
              </w:rPr>
              <w:t>Los puntos se ubicarán en centros de celda cuando corresponda, evitando sesgos de borde.</w:t>
            </w:r>
          </w:p>
        </w:tc>
        <w:tc>
          <w:tcPr>
            <w:tcW w:type="dxa" w:w="2464"/>
            <w:vAlign w:val="center"/>
          </w:tcPr>
          <w:p>
            <w:r/>
            <w:r>
              <w:rPr>
                <w:b w:val="0"/>
                <w:sz w:val="16"/>
              </w:rPr>
              <w:t>Alta</w:t>
            </w:r>
          </w:p>
        </w:tc>
        <w:tc>
          <w:tcPr>
            <w:tcW w:type="dxa" w:w="2464"/>
            <w:vAlign w:val="center"/>
          </w:tcPr>
          <w:p>
            <w:r/>
            <w:r>
              <w:rPr>
                <w:b w:val="0"/>
                <w:sz w:val="16"/>
              </w:rPr>
              <w:t>La geometría de la malla es reproducible y visible en UI.</w:t>
            </w:r>
          </w:p>
        </w:tc>
      </w:tr>
      <w:tr>
        <w:tc>
          <w:tcPr>
            <w:tcW w:type="dxa" w:w="2464"/>
            <w:vAlign w:val="center"/>
          </w:tcPr>
          <w:p>
            <w:r/>
            <w:r>
              <w:rPr>
                <w:b/>
                <w:sz w:val="16"/>
              </w:rPr>
              <w:t>GRID-002</w:t>
            </w:r>
          </w:p>
        </w:tc>
        <w:tc>
          <w:tcPr>
            <w:tcW w:type="dxa" w:w="2464"/>
            <w:vAlign w:val="center"/>
          </w:tcPr>
          <w:p>
            <w:r/>
            <w:r>
              <w:rPr>
                <w:b w:val="0"/>
                <w:sz w:val="16"/>
              </w:rPr>
              <w:t>Cada punto conocerá superficie, normal, coordenadas locales, carril, zona y progresiva.</w:t>
            </w:r>
          </w:p>
        </w:tc>
        <w:tc>
          <w:tcPr>
            <w:tcW w:type="dxa" w:w="2464"/>
            <w:vAlign w:val="center"/>
          </w:tcPr>
          <w:p>
            <w:r/>
            <w:r>
              <w:rPr>
                <w:b w:val="0"/>
                <w:sz w:val="16"/>
              </w:rPr>
              <w:t>Alta</w:t>
            </w:r>
          </w:p>
        </w:tc>
        <w:tc>
          <w:tcPr>
            <w:tcW w:type="dxa" w:w="2464"/>
            <w:vAlign w:val="center"/>
          </w:tcPr>
          <w:p>
            <w:r/>
            <w:r>
              <w:rPr>
                <w:b w:val="0"/>
                <w:sz w:val="16"/>
              </w:rPr>
              <w:t>Los resultados se agregan por cualquier dimensión.</w:t>
            </w:r>
          </w:p>
        </w:tc>
      </w:tr>
      <w:tr>
        <w:tc>
          <w:tcPr>
            <w:tcW w:type="dxa" w:w="2464"/>
            <w:vAlign w:val="center"/>
          </w:tcPr>
          <w:p>
            <w:r/>
            <w:r>
              <w:rPr>
                <w:b/>
                <w:sz w:val="16"/>
              </w:rPr>
              <w:t>GRID-003</w:t>
            </w:r>
          </w:p>
        </w:tc>
        <w:tc>
          <w:tcPr>
            <w:tcW w:type="dxa" w:w="2464"/>
            <w:vAlign w:val="center"/>
          </w:tcPr>
          <w:p>
            <w:r/>
            <w:r>
              <w:rPr>
                <w:b w:val="0"/>
                <w:sz w:val="16"/>
              </w:rPr>
              <w:t>La malla adaptativa no se usará para métricas normativas salvo que la norma lo permita.</w:t>
            </w:r>
          </w:p>
        </w:tc>
        <w:tc>
          <w:tcPr>
            <w:tcW w:type="dxa" w:w="2464"/>
            <w:vAlign w:val="center"/>
          </w:tcPr>
          <w:p>
            <w:r/>
            <w:r>
              <w:rPr>
                <w:b w:val="0"/>
                <w:sz w:val="16"/>
              </w:rPr>
              <w:t>Crítica</w:t>
            </w:r>
          </w:p>
        </w:tc>
        <w:tc>
          <w:tcPr>
            <w:tcW w:type="dxa" w:w="2464"/>
            <w:vAlign w:val="center"/>
          </w:tcPr>
          <w:p>
            <w:r/>
            <w:r>
              <w:rPr>
                <w:b w:val="0"/>
                <w:sz w:val="16"/>
              </w:rPr>
              <w:t>El informe identifica qué malla alimenta cada métrica.</w:t>
            </w:r>
          </w:p>
        </w:tc>
      </w:tr>
      <w:tr>
        <w:tc>
          <w:tcPr>
            <w:tcW w:type="dxa" w:w="2464"/>
            <w:vAlign w:val="center"/>
          </w:tcPr>
          <w:p>
            <w:r/>
            <w:r>
              <w:rPr>
                <w:b/>
                <w:sz w:val="16"/>
              </w:rPr>
              <w:t>GRID-004</w:t>
            </w:r>
          </w:p>
        </w:tc>
        <w:tc>
          <w:tcPr>
            <w:tcW w:type="dxa" w:w="2464"/>
            <w:vAlign w:val="center"/>
          </w:tcPr>
          <w:p>
            <w:r/>
            <w:r>
              <w:rPr>
                <w:b w:val="0"/>
                <w:sz w:val="16"/>
              </w:rPr>
              <w:t>Las mallas de paredes y techo podrán tener densidad distinta de la calzada.</w:t>
            </w:r>
          </w:p>
        </w:tc>
        <w:tc>
          <w:tcPr>
            <w:tcW w:type="dxa" w:w="2464"/>
            <w:vAlign w:val="center"/>
          </w:tcPr>
          <w:p>
            <w:r/>
            <w:r>
              <w:rPr>
                <w:b w:val="0"/>
                <w:sz w:val="16"/>
              </w:rPr>
              <w:t>Media</w:t>
            </w:r>
          </w:p>
        </w:tc>
        <w:tc>
          <w:tcPr>
            <w:tcW w:type="dxa" w:w="2464"/>
            <w:vAlign w:val="center"/>
          </w:tcPr>
          <w:p>
            <w:r/>
            <w:r>
              <w:rPr>
                <w:b w:val="0"/>
                <w:sz w:val="16"/>
              </w:rPr>
              <w:t>La radiosidad y los mapas no obligan a una única resolución.</w:t>
            </w:r>
          </w:p>
        </w:tc>
      </w:tr>
    </w:tbl>
    <w:p/>
    <w:p>
      <w:pPr>
        <w:pStyle w:val="Heading1"/>
      </w:pPr>
      <w:r>
        <w:t>13. Observadores y líneas de visión</w:t>
      </w:r>
    </w:p>
    <w:p>
      <w:r>
        <w:t>Los observadores se crearán con valores CIE por defecto y serán personalizables. El sistema admitirá observadores por carril, por sentido, fijos, simplemente móviles y móviles complejos. Cada observador incluirá altura de ojo, edad, posición lateral, progresiva, dirección de visión y ángulo vertical.</w:t>
      </w:r>
    </w:p>
    <w:p>
      <w:pPr>
        <w:pStyle w:val="CodeBlock"/>
      </w:pPr>
      <w:r>
        <w:t>Observer</w:t>
        <w:br/>
        <w:t xml:space="preserve">  id, lane_id, travel_direction</w:t>
        <w:br/>
        <w:t xml:space="preserve">  eye_position_xyz_m</w:t>
        <w:br/>
        <w:t xml:space="preserve">  eye_height_m = 1.5</w:t>
        <w:br/>
        <w:t xml:space="preserve">  age_years = 23</w:t>
        <w:br/>
        <w:t xml:space="preserve">  sight_direction_unit</w:t>
        <w:br/>
        <w:t xml:space="preserve">  downward_angle_rad = 1 degree</w:t>
        <w:br/>
        <w:t xml:space="preserve">  movement_mode: FIXED | SIMPLE_MOVING | COMPLEX_MOVING</w:t>
        <w:br/>
        <w:t xml:space="preserve">  custom_parameters</w:t>
        <w:br/>
      </w:r>
    </w:p>
    <w:p>
      <w:pPr>
        <w:pStyle w:val="Heading1"/>
      </w:pPr>
      <w:r>
        <w:t>14. Motor de cálculo directo</w:t>
      </w:r>
    </w:p>
    <w:p>
      <w:pPr>
        <w:pStyle w:val="Heading2"/>
      </w:pPr>
      <w:r>
        <w:t>14.1 Secuencia por punto y luminaria</w:t>
      </w:r>
    </w:p>
    <w:p>
      <w:pPr>
        <w:pStyle w:val="ListNumber"/>
      </w:pPr>
      <w:r>
        <w:t>Construir el vector 3D desde el centro fotométrico de la luminaria al punto.</w:t>
      </w:r>
    </w:p>
    <w:p>
      <w:pPr>
        <w:pStyle w:val="ListNumber"/>
      </w:pPr>
      <w:r>
        <w:t>Comprobar distancia mínima, dominio y posible oclusión.</w:t>
      </w:r>
    </w:p>
    <w:p>
      <w:pPr>
        <w:pStyle w:val="ListNumber"/>
      </w:pPr>
      <w:r>
        <w:t>Transformar el vector al sistema fotométrico local.</w:t>
      </w:r>
    </w:p>
    <w:p>
      <w:pPr>
        <w:pStyle w:val="ListNumber"/>
      </w:pPr>
      <w:r>
        <w:t>Obtener C y γ.</w:t>
      </w:r>
    </w:p>
    <w:p>
      <w:pPr>
        <w:pStyle w:val="ListNumber"/>
      </w:pPr>
      <w:r>
        <w:t>Interpolar I(C,γ) en la fotometría normalizada.</w:t>
      </w:r>
    </w:p>
    <w:p>
      <w:pPr>
        <w:pStyle w:val="ListNumber"/>
      </w:pPr>
      <w:r>
        <w:t>Aplicar flujo, regulación, margen y factores declarados.</w:t>
      </w:r>
    </w:p>
    <w:p>
      <w:pPr>
        <w:pStyle w:val="ListNumber"/>
      </w:pPr>
      <w:r>
        <w:t>Calcular la magnitud elemental según plano, normal y tipo de métrica.</w:t>
      </w:r>
    </w:p>
    <w:p>
      <w:pPr>
        <w:pStyle w:val="ListNumber"/>
      </w:pPr>
      <w:r>
        <w:t>Acumular en float64 con estrategia estable.</w:t>
      </w:r>
    </w:p>
    <w:p>
      <w:pPr>
        <w:pStyle w:val="ListNumber"/>
      </w:pPr>
      <w:r>
        <w:t>Registrar opcionalmente contribuciones por luminaria para diagnóstico.</w:t>
      </w:r>
    </w:p>
    <w:p>
      <w:pPr>
        <w:pStyle w:val="Heading2"/>
      </w:pPr>
      <w:r>
        <w:t>14.2 Iluminancia sobre plano arbitrario</w:t>
      </w:r>
    </w:p>
    <w:p>
      <w:r>
        <w:t>Para una fuente puntual, la contribución de iluminancia sobre una superficie con normal unitaria n se calculará como E = I · max(0, n·s) / d², donde s es el vector unitario desde el punto hacia la luminaria y d la distancia. La fórmula especializada de iluminancia horizontal de CIE 140 será un caso particular y se utilizará para validación cruzada.</w:t>
      </w:r>
    </w:p>
    <w:p>
      <w:pPr>
        <w:pStyle w:val="Heading2"/>
      </w:pPr>
      <w:r>
        <w:t>14.3 Iluminancias especiales</w:t>
      </w:r>
    </w:p>
    <w:p>
      <w:pPr>
        <w:pStyle w:val="ListBullet"/>
      </w:pPr>
      <w:r>
        <w:t>Vertical: normal horizontal orientada según dirección seleccionada.</w:t>
      </w:r>
    </w:p>
    <w:p>
      <w:pPr>
        <w:pStyle w:val="ListBullet"/>
      </w:pPr>
      <w:r>
        <w:t>Semicilíndrica: integración analítica o fórmula CIE sobre el semicírculo orientado; altura configurable, por defecto 1,5 m.</w:t>
      </w:r>
    </w:p>
    <w:p>
      <w:pPr>
        <w:pStyle w:val="ListBullet"/>
      </w:pPr>
      <w:r>
        <w:t>Cilíndrica: promedio de iluminancias verticales alrededor de 360° o formulación equivalente validada.</w:t>
      </w:r>
    </w:p>
    <w:p>
      <w:pPr>
        <w:pStyle w:val="ListBullet"/>
      </w:pPr>
      <w:r>
        <w:t>Hemisférica: integración sobre hemisferio receptor con discretización controlada y prueba de convergencia.</w:t>
      </w:r>
    </w:p>
    <w:p>
      <w:pPr>
        <w:pStyle w:val="ListBullet"/>
      </w:pPr>
      <w:r>
        <w:t>Normal al plano de visión para cálculo de deslumbramiento.</w:t>
      </w:r>
    </w:p>
    <w:p>
      <w:pPr>
        <w:pStyle w:val="Heading1"/>
      </w:pPr>
      <w:r>
        <w:t>15. Cálculo de luminancia</w:t>
      </w:r>
    </w:p>
    <w:p>
      <w:pPr>
        <w:pStyle w:val="Heading2"/>
      </w:pPr>
      <w:r>
        <w:t>15.1 Calzada con r-table</w:t>
      </w:r>
    </w:p>
    <w:p>
      <w:r>
        <w:t>Para cada punto, luminaria y observador se calcularán los ángulos de incidencia y desviación necesarios para consultar la r-table. La luminancia mantenida se obtendrá mediante la suma de I(C,γ) · fm · r · 10^-4 / H² o una formulación vectorial matemáticamente equivalente. H será la altura vertical relevante respecto a la superficie de calzada cuando se aplique la formulación CIE.</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LUM-001</w:t>
            </w:r>
          </w:p>
        </w:tc>
        <w:tc>
          <w:tcPr>
            <w:tcW w:type="dxa" w:w="2464"/>
            <w:vAlign w:val="center"/>
          </w:tcPr>
          <w:p>
            <w:r/>
            <w:r>
              <w:rPr>
                <w:b w:val="0"/>
                <w:sz w:val="16"/>
              </w:rPr>
              <w:t>La luminancia depende del observador; no se reutilizará indebidamente entre posiciones.</w:t>
            </w:r>
          </w:p>
        </w:tc>
        <w:tc>
          <w:tcPr>
            <w:tcW w:type="dxa" w:w="2464"/>
            <w:vAlign w:val="center"/>
          </w:tcPr>
          <w:p>
            <w:r/>
            <w:r>
              <w:rPr>
                <w:b w:val="0"/>
                <w:sz w:val="16"/>
              </w:rPr>
              <w:t>Crítica</w:t>
            </w:r>
          </w:p>
        </w:tc>
        <w:tc>
          <w:tcPr>
            <w:tcW w:type="dxa" w:w="2464"/>
            <w:vAlign w:val="center"/>
          </w:tcPr>
          <w:p>
            <w:r/>
            <w:r>
              <w:rPr>
                <w:b w:val="0"/>
                <w:sz w:val="16"/>
              </w:rPr>
              <w:t>Cada conjunto de resultados referencia observer_id.</w:t>
            </w:r>
          </w:p>
        </w:tc>
      </w:tr>
      <w:tr>
        <w:tc>
          <w:tcPr>
            <w:tcW w:type="dxa" w:w="2464"/>
            <w:vAlign w:val="center"/>
          </w:tcPr>
          <w:p>
            <w:r/>
            <w:r>
              <w:rPr>
                <w:b/>
                <w:sz w:val="16"/>
              </w:rPr>
              <w:t>LUM-002</w:t>
            </w:r>
          </w:p>
        </w:tc>
        <w:tc>
          <w:tcPr>
            <w:tcW w:type="dxa" w:w="2464"/>
            <w:vAlign w:val="center"/>
          </w:tcPr>
          <w:p>
            <w:r/>
            <w:r>
              <w:rPr>
                <w:b w:val="0"/>
                <w:sz w:val="16"/>
              </w:rPr>
              <w:t>La r-table se consulta con β y tan γ dentro de cobertura.</w:t>
            </w:r>
          </w:p>
        </w:tc>
        <w:tc>
          <w:tcPr>
            <w:tcW w:type="dxa" w:w="2464"/>
            <w:vAlign w:val="center"/>
          </w:tcPr>
          <w:p>
            <w:r/>
            <w:r>
              <w:rPr>
                <w:b w:val="0"/>
                <w:sz w:val="16"/>
              </w:rPr>
              <w:t>Crítica</w:t>
            </w:r>
          </w:p>
        </w:tc>
        <w:tc>
          <w:tcPr>
            <w:tcW w:type="dxa" w:w="2464"/>
            <w:vAlign w:val="center"/>
          </w:tcPr>
          <w:p>
            <w:r/>
            <w:r>
              <w:rPr>
                <w:b w:val="0"/>
                <w:sz w:val="16"/>
              </w:rPr>
              <w:t>No hay extrapolación silenciosa.</w:t>
            </w:r>
          </w:p>
        </w:tc>
      </w:tr>
      <w:tr>
        <w:tc>
          <w:tcPr>
            <w:tcW w:type="dxa" w:w="2464"/>
            <w:vAlign w:val="center"/>
          </w:tcPr>
          <w:p>
            <w:r/>
            <w:r>
              <w:rPr>
                <w:b/>
                <w:sz w:val="16"/>
              </w:rPr>
              <w:t>LUM-003</w:t>
            </w:r>
          </w:p>
        </w:tc>
        <w:tc>
          <w:tcPr>
            <w:tcW w:type="dxa" w:w="2464"/>
            <w:vAlign w:val="center"/>
          </w:tcPr>
          <w:p>
            <w:r/>
            <w:r>
              <w:rPr>
                <w:b w:val="0"/>
                <w:sz w:val="16"/>
              </w:rPr>
              <w:t>Se distinguirá luminancia directa normativa de contribución indirecta por radiosidad.</w:t>
            </w:r>
          </w:p>
        </w:tc>
        <w:tc>
          <w:tcPr>
            <w:tcW w:type="dxa" w:w="2464"/>
            <w:vAlign w:val="center"/>
          </w:tcPr>
          <w:p>
            <w:r/>
            <w:r>
              <w:rPr>
                <w:b w:val="0"/>
                <w:sz w:val="16"/>
              </w:rPr>
              <w:t>Crítica</w:t>
            </w:r>
          </w:p>
        </w:tc>
        <w:tc>
          <w:tcPr>
            <w:tcW w:type="dxa" w:w="2464"/>
            <w:vAlign w:val="center"/>
          </w:tcPr>
          <w:p>
            <w:r/>
            <w:r>
              <w:rPr>
                <w:b w:val="0"/>
                <w:sz w:val="16"/>
              </w:rPr>
              <w:t>Los informes muestran L_direct, L_indirect y L_total.</w:t>
            </w:r>
          </w:p>
        </w:tc>
      </w:tr>
    </w:tbl>
    <w:p/>
    <w:p>
      <w:pPr>
        <w:pStyle w:val="Heading2"/>
      </w:pPr>
      <w:r>
        <w:t>15.2 Superficies difusas</w:t>
      </w:r>
    </w:p>
    <w:p>
      <w:r>
        <w:t>Para materiales lambertianos, la luminancia saliente será L = M/π, donde M es la exitancia total. En cálculo directo sin radiosidad, M = ρE_direct. Con radiosidad, M será la radiosidad resuelta del parche.</w:t>
      </w:r>
    </w:p>
    <w:p>
      <w:pPr>
        <w:pStyle w:val="Heading1"/>
      </w:pPr>
      <w:r>
        <w:t>16. Motor de radiosidad</w:t>
      </w:r>
    </w:p>
    <w:p>
      <w:pPr>
        <w:pStyle w:val="Heading2"/>
      </w:pPr>
      <w:r>
        <w:t>16.1 Alcance</w:t>
      </w:r>
    </w:p>
    <w:p>
      <w:r>
        <w:t>La radiosidad se utilizará para paredes, techo, bóveda, aceras, elementos custom y, con tratamiento específico, para la componente difusa secundaria de la calzada. El objetivo es estimar interreflexiones de múltiples rebotes sin confundir la r-table de visión rasante con una BRDF completa.</w:t>
      </w:r>
    </w:p>
    <w:p>
      <w:pPr>
        <w:pStyle w:val="Heading2"/>
      </w:pPr>
      <w:r>
        <w:t>16.2 Discretización</w:t>
      </w:r>
    </w:p>
    <w:p>
      <w:pPr>
        <w:pStyle w:val="ListBullet"/>
      </w:pPr>
      <w:r>
        <w:t>Triangulación o cuadrangulación en parches con área, centroide, normal, material y superficie de origen.</w:t>
      </w:r>
    </w:p>
    <w:p>
      <w:pPr>
        <w:pStyle w:val="ListBullet"/>
      </w:pPr>
      <w:r>
        <w:t>Tamaño de parche configurable por superficie y modo de calidad.</w:t>
      </w:r>
    </w:p>
    <w:p>
      <w:pPr>
        <w:pStyle w:val="ListBullet"/>
      </w:pPr>
      <w:r>
        <w:t>Refinamiento cerca de luminarias, discontinuidades y altos gradientes.</w:t>
      </w:r>
    </w:p>
    <w:p>
      <w:pPr>
        <w:pStyle w:val="ListBullet"/>
      </w:pPr>
      <w:r>
        <w:t>Control de aspecto y área mínima.</w:t>
      </w:r>
    </w:p>
    <w:p>
      <w:pPr>
        <w:pStyle w:val="ListBullet"/>
      </w:pPr>
      <w:r>
        <w:t>Mapa persistente entre parche y elementos geométricos para visualización.</w:t>
      </w:r>
    </w:p>
    <w:p>
      <w:pPr>
        <w:pStyle w:val="Heading2"/>
      </w:pPr>
      <w:r>
        <w:t>16.3 Ecuación</w:t>
      </w:r>
    </w:p>
    <w:p>
      <w:pPr>
        <w:pStyle w:val="CodeBlock"/>
      </w:pPr>
      <w:r>
        <w:t>B_i = E_i + rho_i * sum_j(F_ij * B_j)</w:t>
        <w:br/>
        <w:t>(I - R F) B = E</w:t>
        <w:br/>
      </w:r>
    </w:p>
    <w:p>
      <w:r>
        <w:t>B representa radiosidad saliente por parche, E la energía emitida o reflejada de primer impacto, R la matriz diagonal de reflectancias y F los factores de forma. Las luminarias no se modelarán como parches emisores salvo en un modo avanzado; su contribución primaria se calculará directamente sobre cada parche.</w:t>
      </w:r>
    </w:p>
    <w:p>
      <w:pPr>
        <w:pStyle w:val="Heading2"/>
      </w:pPr>
      <w:r>
        <w:t>16.4 Factores de forma y visibilidad</w:t>
      </w:r>
    </w:p>
    <w:p>
      <w:pPr>
        <w:pStyle w:val="ListBullet"/>
      </w:pPr>
      <w:r>
        <w:t>Método hemicube GPU no requerido; implementación inicial CPU mediante integración por parches y visibilidad acelerada.</w:t>
      </w:r>
    </w:p>
    <w:p>
      <w:pPr>
        <w:pStyle w:val="ListBullet"/>
      </w:pPr>
      <w:r>
        <w:t>Factores de forma no negativos, reciprocidad A_i F_ij ≈ A_j F_ji y suma por fila ≤ 1.</w:t>
      </w:r>
    </w:p>
    <w:p>
      <w:pPr>
        <w:pStyle w:val="ListBullet"/>
      </w:pPr>
      <w:r>
        <w:t>Corrección de conservación energética cuando el error numérico supere tolerancia.</w:t>
      </w:r>
    </w:p>
    <w:p>
      <w:pPr>
        <w:pStyle w:val="ListBullet"/>
      </w:pPr>
      <w:r>
        <w:t>BVH para pruebas de visibilidad.</w:t>
      </w:r>
    </w:p>
    <w:p>
      <w:pPr>
        <w:pStyle w:val="ListBullet"/>
      </w:pPr>
      <w:r>
        <w:t>Caché de factores de forma por hash geométrico y resolución.</w:t>
      </w:r>
    </w:p>
    <w:p>
      <w:pPr>
        <w:pStyle w:val="Heading2"/>
      </w:pPr>
      <w:r>
        <w:t>16.5 Solver</w:t>
      </w:r>
    </w:p>
    <w:p>
      <w:pPr>
        <w:pStyle w:val="ListBullet"/>
      </w:pPr>
      <w:r>
        <w:t>Solver iterativo Gauss-Seidel o conjugado adecuado a la matriz; selección basada en estabilidad y memoria.</w:t>
      </w:r>
    </w:p>
    <w:p>
      <w:pPr>
        <w:pStyle w:val="ListBullet"/>
      </w:pPr>
      <w:r>
        <w:t>Criterio de convergencia relativo y absoluto configurable.</w:t>
      </w:r>
    </w:p>
    <w:p>
      <w:pPr>
        <w:pStyle w:val="ListBullet"/>
      </w:pPr>
      <w:r>
        <w:t>Máximo de iteraciones y diagnóstico de no convergencia.</w:t>
      </w:r>
    </w:p>
    <w:p>
      <w:pPr>
        <w:pStyle w:val="ListBullet"/>
      </w:pPr>
      <w:r>
        <w:t>Validación energética: energía reflejada nunca superior a la recibida multiplicada por reflectancia.</w:t>
      </w:r>
    </w:p>
    <w:p>
      <w:pPr>
        <w:pStyle w:val="ListBullet"/>
      </w:pPr>
      <w:r>
        <w:t>Comparación con soluciones analíticas de recintos simples.</w:t>
      </w:r>
    </w:p>
    <w:p>
      <w:pPr>
        <w:pStyle w:val="Heading1"/>
      </w:pPr>
      <w:r>
        <w:t>17. Métricas de calidad</w:t>
      </w:r>
    </w:p>
    <w:p>
      <w:pPr>
        <w:pStyle w:val="ListBullet"/>
      </w:pPr>
      <w:r>
        <w:t>L_media = media aritmética de valores de malla normativa.</w:t>
      </w:r>
    </w:p>
    <w:p>
      <w:pPr>
        <w:pStyle w:val="ListBullet"/>
      </w:pPr>
      <w:r>
        <w:t>Uo = L_min / L_media.</w:t>
      </w:r>
    </w:p>
    <w:p>
      <w:pPr>
        <w:pStyle w:val="ListBullet"/>
      </w:pPr>
      <w:r>
        <w:t>Ul por cada línea longitudinal pertinente = L_min_linea / L_max_linea; valor operativo según norma.</w:t>
      </w:r>
    </w:p>
    <w:p>
      <w:pPr>
        <w:pStyle w:val="ListBullet"/>
      </w:pPr>
      <w:r>
        <w:t>E_media, E_min, E_max y Uh = E_min / E_media.</w:t>
      </w:r>
    </w:p>
    <w:p>
      <w:pPr>
        <w:pStyle w:val="ListBullet"/>
      </w:pPr>
      <w:r>
        <w:t>Percentiles P5, P50, P95 como diagnóstico no normativo.</w:t>
      </w:r>
    </w:p>
    <w:p>
      <w:pPr>
        <w:pStyle w:val="ListBullet"/>
      </w:pPr>
      <w:r>
        <w:t>Diferencia y ratio entre cálculo directo y total con radiosidad.</w:t>
      </w:r>
    </w:p>
    <w:p>
      <w:pPr>
        <w:pStyle w:val="Heading2"/>
      </w:pPr>
      <w:r>
        <w:t>17.1 Incremento de umbral TI</w:t>
      </w:r>
    </w:p>
    <w:p>
      <w:r>
        <w:t>TI se implementará conforme a CIE 88 para túneles y no se asumirá automáticamente que la formulación de carretera exterior sea suficiente. El módulo normativo suministrará al core los parámetros y reglas aplicables: posición y movimiento del observador, luminancia de adaptación o de calzada, luminarias incluidas, ángulos de apantallamiento, edad y rango de validez.</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TI-001</w:t>
            </w:r>
          </w:p>
        </w:tc>
        <w:tc>
          <w:tcPr>
            <w:tcW w:type="dxa" w:w="2464"/>
            <w:vAlign w:val="center"/>
          </w:tcPr>
          <w:p>
            <w:r/>
            <w:r>
              <w:rPr>
                <w:b w:val="0"/>
                <w:sz w:val="16"/>
              </w:rPr>
              <w:t>Calcular la iluminancia en el ojo sobre plano normal a la línea de visión para cada luminaria.</w:t>
            </w:r>
          </w:p>
        </w:tc>
        <w:tc>
          <w:tcPr>
            <w:tcW w:type="dxa" w:w="2464"/>
            <w:vAlign w:val="center"/>
          </w:tcPr>
          <w:p>
            <w:r/>
            <w:r>
              <w:rPr>
                <w:b w:val="0"/>
                <w:sz w:val="16"/>
              </w:rPr>
              <w:t>Crítica</w:t>
            </w:r>
          </w:p>
        </w:tc>
        <w:tc>
          <w:tcPr>
            <w:tcW w:type="dxa" w:w="2464"/>
            <w:vAlign w:val="center"/>
          </w:tcPr>
          <w:p>
            <w:r/>
            <w:r>
              <w:rPr>
                <w:b w:val="0"/>
                <w:sz w:val="16"/>
              </w:rPr>
              <w:t>Los casos elementales se verifican analíticamente.</w:t>
            </w:r>
          </w:p>
        </w:tc>
      </w:tr>
      <w:tr>
        <w:tc>
          <w:tcPr>
            <w:tcW w:type="dxa" w:w="2464"/>
            <w:vAlign w:val="center"/>
          </w:tcPr>
          <w:p>
            <w:r/>
            <w:r>
              <w:rPr>
                <w:b/>
                <w:sz w:val="16"/>
              </w:rPr>
              <w:t>TI-002</w:t>
            </w:r>
          </w:p>
        </w:tc>
        <w:tc>
          <w:tcPr>
            <w:tcW w:type="dxa" w:w="2464"/>
            <w:vAlign w:val="center"/>
          </w:tcPr>
          <w:p>
            <w:r/>
            <w:r>
              <w:rPr>
                <w:b w:val="0"/>
                <w:sz w:val="16"/>
              </w:rPr>
              <w:t>Aplicar filtros geométricos y distancias de inclusión definidos por la edición activa de CIE 88.</w:t>
            </w:r>
          </w:p>
        </w:tc>
        <w:tc>
          <w:tcPr>
            <w:tcW w:type="dxa" w:w="2464"/>
            <w:vAlign w:val="center"/>
          </w:tcPr>
          <w:p>
            <w:r/>
            <w:r>
              <w:rPr>
                <w:b w:val="0"/>
                <w:sz w:val="16"/>
              </w:rPr>
              <w:t>Crítica</w:t>
            </w:r>
          </w:p>
        </w:tc>
        <w:tc>
          <w:tcPr>
            <w:tcW w:type="dxa" w:w="2464"/>
            <w:vAlign w:val="center"/>
          </w:tcPr>
          <w:p>
            <w:r/>
            <w:r>
              <w:rPr>
                <w:b w:val="0"/>
                <w:sz w:val="16"/>
              </w:rPr>
              <w:t>El informe enumera luminarias incluidas y excluidas con motivo.</w:t>
            </w:r>
          </w:p>
        </w:tc>
      </w:tr>
      <w:tr>
        <w:tc>
          <w:tcPr>
            <w:tcW w:type="dxa" w:w="2464"/>
            <w:vAlign w:val="center"/>
          </w:tcPr>
          <w:p>
            <w:r/>
            <w:r>
              <w:rPr>
                <w:b/>
                <w:sz w:val="16"/>
              </w:rPr>
              <w:t>TI-003</w:t>
            </w:r>
          </w:p>
        </w:tc>
        <w:tc>
          <w:tcPr>
            <w:tcW w:type="dxa" w:w="2464"/>
            <w:vAlign w:val="center"/>
          </w:tcPr>
          <w:p>
            <w:r/>
            <w:r>
              <w:rPr>
                <w:b w:val="0"/>
                <w:sz w:val="16"/>
              </w:rPr>
              <w:t>Mover el observador según la malla longitudinal requerida y tomar el valor operativo.</w:t>
            </w:r>
          </w:p>
        </w:tc>
        <w:tc>
          <w:tcPr>
            <w:tcW w:type="dxa" w:w="2464"/>
            <w:vAlign w:val="center"/>
          </w:tcPr>
          <w:p>
            <w:r/>
            <w:r>
              <w:rPr>
                <w:b w:val="0"/>
                <w:sz w:val="16"/>
              </w:rPr>
              <w:t>Crítica</w:t>
            </w:r>
          </w:p>
        </w:tc>
        <w:tc>
          <w:tcPr>
            <w:tcW w:type="dxa" w:w="2464"/>
            <w:vAlign w:val="center"/>
          </w:tcPr>
          <w:p>
            <w:r/>
            <w:r>
              <w:rPr>
                <w:b w:val="0"/>
                <w:sz w:val="16"/>
              </w:rPr>
              <w:t>El máximo y su posición se registran.</w:t>
            </w:r>
          </w:p>
        </w:tc>
      </w:tr>
      <w:tr>
        <w:tc>
          <w:tcPr>
            <w:tcW w:type="dxa" w:w="2464"/>
            <w:vAlign w:val="center"/>
          </w:tcPr>
          <w:p>
            <w:r/>
            <w:r>
              <w:rPr>
                <w:b/>
                <w:sz w:val="16"/>
              </w:rPr>
              <w:t>TI-004</w:t>
            </w:r>
          </w:p>
        </w:tc>
        <w:tc>
          <w:tcPr>
            <w:tcW w:type="dxa" w:w="2464"/>
            <w:vAlign w:val="center"/>
          </w:tcPr>
          <w:p>
            <w:r/>
            <w:r>
              <w:rPr>
                <w:b w:val="0"/>
                <w:sz w:val="16"/>
              </w:rPr>
              <w:t>Permitir valores por defecto CIE y personalización explícita.</w:t>
            </w:r>
          </w:p>
        </w:tc>
        <w:tc>
          <w:tcPr>
            <w:tcW w:type="dxa" w:w="2464"/>
            <w:vAlign w:val="center"/>
          </w:tcPr>
          <w:p>
            <w:r/>
            <w:r>
              <w:rPr>
                <w:b w:val="0"/>
                <w:sz w:val="16"/>
              </w:rPr>
              <w:t>Alta</w:t>
            </w:r>
          </w:p>
        </w:tc>
        <w:tc>
          <w:tcPr>
            <w:tcW w:type="dxa" w:w="2464"/>
            <w:vAlign w:val="center"/>
          </w:tcPr>
          <w:p>
            <w:r/>
            <w:r>
              <w:rPr>
                <w:b w:val="0"/>
                <w:sz w:val="16"/>
              </w:rPr>
              <w:t>Toda personalización queda marcada como desviación normativa.</w:t>
            </w:r>
          </w:p>
        </w:tc>
      </w:tr>
    </w:tbl>
    <w:p/>
    <w:p>
      <w:pPr>
        <w:pStyle w:val="Heading1"/>
      </w:pPr>
      <w:r>
        <w:t>18. Zonas del túnel y escenas operativas</w:t>
      </w:r>
    </w:p>
    <w:p>
      <w:pPr>
        <w:pStyle w:val="Heading2"/>
      </w:pPr>
      <w:r>
        <w:t>18.1 Zonas</w:t>
      </w:r>
    </w:p>
    <w:p>
      <w:pPr>
        <w:pStyle w:val="ListBullet"/>
      </w:pPr>
      <w:r>
        <w:t>Acceso.</w:t>
      </w:r>
    </w:p>
    <w:p>
      <w:pPr>
        <w:pStyle w:val="ListBullet"/>
      </w:pPr>
      <w:r>
        <w:t>Umbral.</w:t>
      </w:r>
    </w:p>
    <w:p>
      <w:pPr>
        <w:pStyle w:val="ListBullet"/>
      </w:pPr>
      <w:r>
        <w:t>Transición, con subzonas automáticas o manuales.</w:t>
      </w:r>
    </w:p>
    <w:p>
      <w:pPr>
        <w:pStyle w:val="ListBullet"/>
      </w:pPr>
      <w:r>
        <w:t>Interior.</w:t>
      </w:r>
    </w:p>
    <w:p>
      <w:pPr>
        <w:pStyle w:val="ListBullet"/>
      </w:pPr>
      <w:r>
        <w:t>Salida.</w:t>
      </w:r>
    </w:p>
    <w:p>
      <w:pPr>
        <w:pStyle w:val="ListBullet"/>
      </w:pPr>
      <w:r>
        <w:t>Ramales, bifurcaciones, áreas de conflicto, nichos y zonas especiales.</w:t>
      </w:r>
    </w:p>
    <w:p>
      <w:pPr>
        <w:pStyle w:val="ListBullet"/>
      </w:pPr>
      <w:r>
        <w:t>Zona de emergencia y evacuación cuando proceda.</w:t>
      </w:r>
    </w:p>
    <w:p>
      <w:pPr>
        <w:pStyle w:val="Heading2"/>
      </w:pPr>
      <w:r>
        <w:t>18.2 Escenarios</w:t>
      </w:r>
    </w:p>
    <w:p>
      <w:pPr>
        <w:pStyle w:val="ListBullet"/>
      </w:pPr>
      <w:r>
        <w:t>Día despejado, día cubierto, crepúsculo, noche y niveles L20 configurables.</w:t>
      </w:r>
    </w:p>
    <w:p>
      <w:pPr>
        <w:pStyle w:val="ListBullet"/>
      </w:pPr>
      <w:r>
        <w:t>Escenarios por estación, hora, sentido y estado del tráfico.</w:t>
      </w:r>
    </w:p>
    <w:p>
      <w:pPr>
        <w:pStyle w:val="ListBullet"/>
      </w:pPr>
      <w:r>
        <w:t>Fallo de circuito o luminaria.</w:t>
      </w:r>
    </w:p>
    <w:p>
      <w:pPr>
        <w:pStyle w:val="ListBullet"/>
      </w:pPr>
      <w:r>
        <w:t>Emergencia.</w:t>
      </w:r>
    </w:p>
    <w:p>
      <w:pPr>
        <w:pStyle w:val="ListBullet"/>
      </w:pPr>
      <w:r>
        <w:t>Mantenimiento y degradación.</w:t>
      </w:r>
    </w:p>
    <w:p>
      <w:pPr>
        <w:pStyle w:val="ListBullet"/>
      </w:pPr>
      <w:r>
        <w:t>Mojado y seco.</w:t>
      </w:r>
    </w:p>
    <w:p>
      <w:pPr>
        <w:pStyle w:val="ListBullet"/>
      </w:pPr>
      <w:r>
        <w:t>Escenarios custom con combinación de circuitos y niveles.</w:t>
      </w:r>
    </w:p>
    <w:p>
      <w:pPr>
        <w:pStyle w:val="Heading2"/>
      </w:pPr>
      <w:r>
        <w:t>18.3 Regulación y circuitos</w:t>
      </w:r>
    </w:p>
    <w:p>
      <w:r>
        <w:t>El sistema generará una matriz circuito × escenario con nivel de control, flujo, potencia y estado. Las curvas objetivo por zona podrán ser continuas, pero la solución física se discretizará en circuitos y escalones respetando límites de drivers, equipos y estrategia de control.</w:t>
      </w:r>
    </w:p>
    <w:p>
      <w:pPr>
        <w:pStyle w:val="Heading1"/>
      </w:pPr>
      <w:r>
        <w:t>19. Motor de optimización</w:t>
      </w:r>
    </w:p>
    <w:p>
      <w:pPr>
        <w:pStyle w:val="Heading2"/>
      </w:pPr>
      <w:r>
        <w:t>19.1 Variables</w:t>
      </w:r>
    </w:p>
    <w:p>
      <w:pPr>
        <w:pStyle w:val="ListBullet"/>
      </w:pPr>
      <w:r>
        <w:t>Modelo y óptica de luminaria.</w:t>
      </w:r>
    </w:p>
    <w:p>
      <w:pPr>
        <w:pStyle w:val="ListBullet"/>
      </w:pPr>
      <w:r>
        <w:t>Flujo nominal y niveles de regulación.</w:t>
      </w:r>
    </w:p>
    <w:p>
      <w:pPr>
        <w:pStyle w:val="ListBullet"/>
      </w:pPr>
      <w:r>
        <w:t>Paso, fase, altura, offset transversal, orientación, tilt y rotación.</w:t>
      </w:r>
    </w:p>
    <w:p>
      <w:pPr>
        <w:pStyle w:val="ListBullet"/>
      </w:pPr>
      <w:r>
        <w:t>Número de filas, circuitos y escalones.</w:t>
      </w:r>
    </w:p>
    <w:p>
      <w:pPr>
        <w:pStyle w:val="ListBullet"/>
      </w:pPr>
      <w:r>
        <w:t>Inicio y fin de refuerzos.</w:t>
      </w:r>
    </w:p>
    <w:p>
      <w:pPr>
        <w:pStyle w:val="ListBullet"/>
      </w:pPr>
      <w:r>
        <w:t>Materiales o reflectancias cuando se estudien alternativas constructivas.</w:t>
      </w:r>
    </w:p>
    <w:p>
      <w:pPr>
        <w:pStyle w:val="Heading2"/>
      </w:pPr>
      <w:r>
        <w:t>19.2 Restricciones</w:t>
      </w:r>
    </w:p>
    <w:p>
      <w:pPr>
        <w:pStyle w:val="ListBullet"/>
      </w:pPr>
      <w:r>
        <w:t>Cumplimiento de luminancia, iluminancias, uniformidades, TI y demás criterios activos.</w:t>
      </w:r>
    </w:p>
    <w:p>
      <w:pPr>
        <w:pStyle w:val="ListBullet"/>
      </w:pPr>
      <w:r>
        <w:t>Límites geométricos y de instalación.</w:t>
      </w:r>
    </w:p>
    <w:p>
      <w:pPr>
        <w:pStyle w:val="ListBullet"/>
      </w:pPr>
      <w:r>
        <w:t>Catálogo de producto y combinaciones válidas.</w:t>
      </w:r>
    </w:p>
    <w:p>
      <w:pPr>
        <w:pStyle w:val="ListBullet"/>
      </w:pPr>
      <w:r>
        <w:t>Potencia máxima por circuito.</w:t>
      </w:r>
    </w:p>
    <w:p>
      <w:pPr>
        <w:pStyle w:val="ListBullet"/>
      </w:pPr>
      <w:r>
        <w:t>Saltos máximos de regulación.</w:t>
      </w:r>
    </w:p>
    <w:p>
      <w:pPr>
        <w:pStyle w:val="ListBullet"/>
      </w:pPr>
      <w:r>
        <w:t>Robustez ante mantenimiento y tolerancias.</w:t>
      </w:r>
    </w:p>
    <w:p>
      <w:pPr>
        <w:pStyle w:val="ListBullet"/>
      </w:pPr>
      <w:r>
        <w:t>Tiempo máximo de cálculo.</w:t>
      </w:r>
    </w:p>
    <w:p>
      <w:pPr>
        <w:pStyle w:val="Heading2"/>
      </w:pPr>
      <w:r>
        <w:t>19.3 Objetivos</w:t>
      </w:r>
    </w:p>
    <w:p>
      <w:pPr>
        <w:pStyle w:val="ListBullet"/>
      </w:pPr>
      <w:r>
        <w:t>Minimizar energía anual.</w:t>
      </w:r>
    </w:p>
    <w:p>
      <w:pPr>
        <w:pStyle w:val="ListBullet"/>
      </w:pPr>
      <w:r>
        <w:t>Minimizar potencia instalada.</w:t>
      </w:r>
    </w:p>
    <w:p>
      <w:pPr>
        <w:pStyle w:val="ListBullet"/>
      </w:pPr>
      <w:r>
        <w:t>Minimizar número de luminarias y coste industrial.</w:t>
      </w:r>
    </w:p>
    <w:p>
      <w:pPr>
        <w:pStyle w:val="ListBullet"/>
      </w:pPr>
      <w:r>
        <w:t>Minimizar CO2 incorporado y operacional.</w:t>
      </w:r>
    </w:p>
    <w:p>
      <w:pPr>
        <w:pStyle w:val="ListBullet"/>
      </w:pPr>
      <w:r>
        <w:t>Maximizar margen de cumplimiento y robustez.</w:t>
      </w:r>
    </w:p>
    <w:p>
      <w:pPr>
        <w:pStyle w:val="ListBullet"/>
      </w:pPr>
      <w:r>
        <w:t>Optimización multiobjetivo con frente de Pareto.</w:t>
      </w:r>
    </w:p>
    <w:p>
      <w:pPr>
        <w:pStyle w:val="Heading2"/>
      </w:pPr>
      <w:r>
        <w:t>19.4 Algoritmos</w:t>
      </w:r>
    </w:p>
    <w:p>
      <w:r>
        <w:t>La primera implementación combinará búsqueda discreta guiada, optimización continua acotada y algoritmos evolutivos para variables mixtas. Se utilizarán etapas: generación de candidatos, preview, descarte por límites, cálculo normativo completo y refinamiento. El algoritmo exacto será intercambiable mediante una interfaz OptimizerStrategy.</w:t>
      </w:r>
    </w:p>
    <w:p>
      <w:pPr>
        <w:pStyle w:val="Heading1"/>
      </w:pPr>
      <w:r>
        <w:t>20. Modelo de datos y persistencia</w:t>
      </w:r>
    </w:p>
    <w:p>
      <w:pPr>
        <w:pStyle w:val="Heading2"/>
      </w:pPr>
      <w:r>
        <w:t>20.1 Principios</w:t>
      </w:r>
    </w:p>
    <w:p>
      <w:pPr>
        <w:pStyle w:val="ListBullet"/>
      </w:pPr>
      <w:r>
        <w:t>Proyecto con revisiones inmutables.</w:t>
      </w:r>
    </w:p>
    <w:p>
      <w:pPr>
        <w:pStyle w:val="ListBullet"/>
      </w:pPr>
      <w:r>
        <w:t>Entidades normalizadas para elementos reutilizables y JSONB para configuraciones extensibles.</w:t>
      </w:r>
    </w:p>
    <w:p>
      <w:pPr>
        <w:pStyle w:val="ListBullet"/>
      </w:pPr>
      <w:r>
        <w:t>Ficheros binarios fuera de tablas transaccionales, en almacenamiento de objetos compatible S3 o filesystem gestionado.</w:t>
      </w:r>
    </w:p>
    <w:p>
      <w:pPr>
        <w:pStyle w:val="ListBullet"/>
      </w:pPr>
      <w:r>
        <w:t>Hashes para deduplicación y trazabilidad.</w:t>
      </w:r>
    </w:p>
    <w:p>
      <w:pPr>
        <w:pStyle w:val="ListBullet"/>
      </w:pPr>
      <w:r>
        <w:t>Resultados grandes en arrays comprimidos Zarr, NPZ o Parquet con manifiesto en PostgreSQL.</w:t>
      </w:r>
    </w:p>
    <w:p>
      <w:pPr>
        <w:pStyle w:val="ListBullet"/>
      </w:pPr>
      <w:r>
        <w:t>No almacenar millones de puntos como filas SQL individuales salvo índices de resumen.</w:t>
      </w:r>
    </w:p>
    <w:p>
      <w:pPr>
        <w:pStyle w:val="Heading2"/>
      </w:pPr>
      <w:r>
        <w:t>20.2 Entidades principales</w:t>
      </w:r>
    </w:p>
    <w:p>
      <w:pPr>
        <w:pStyle w:val="CodeBlock"/>
      </w:pPr>
      <w:r>
        <w:t>projects</w:t>
        <w:br/>
        <w:t>project_revisions</w:t>
        <w:br/>
        <w:t>standards_profiles</w:t>
        <w:br/>
        <w:t>geometry_models</w:t>
        <w:br/>
        <w:t>sections</w:t>
        <w:br/>
        <w:t>surfaces</w:t>
        <w:br/>
        <w:t>surface_material_versions</w:t>
        <w:br/>
        <w:t>photometric_files</w:t>
        <w:br/>
        <w:t>photometric_dataset_versions</w:t>
        <w:br/>
        <w:t>luminaire_catalog_items</w:t>
        <w:br/>
        <w:t>luminaire_instances</w:t>
        <w:br/>
        <w:t>luminaire_rows</w:t>
        <w:br/>
        <w:t>circuits</w:t>
        <w:br/>
        <w:t>scenarios</w:t>
        <w:br/>
        <w:t>calculation_grids</w:t>
        <w:br/>
        <w:t>observers</w:t>
        <w:br/>
        <w:t>calculation_jobs</w:t>
        <w:br/>
        <w:t>calculation_runs</w:t>
        <w:br/>
        <w:t>result_manifests</w:t>
        <w:br/>
        <w:t>metric_results</w:t>
        <w:br/>
        <w:t>optimization_runs</w:t>
        <w:br/>
        <w:t>optimization_candidates</w:t>
        <w:br/>
        <w:t>audit_events</w:t>
        <w:br/>
      </w:r>
    </w:p>
    <w:p>
      <w:pPr>
        <w:pStyle w:val="Heading2"/>
      </w:pPr>
      <w:r>
        <w:t>20.3 Revisionado</w:t>
      </w:r>
    </w:p>
    <w:p>
      <w:r>
        <w:t>Cada ejecución apuntará a una revisión inmutable del proyecto. Editar el proyecto creará un borrador nuevo; calcular congelará un snapshot de entradas. Los resultados no se actualizarán en sitio: una nueva ejecución generará un nuevo calculation_run.</w:t>
      </w:r>
    </w:p>
    <w:p>
      <w:pPr>
        <w:pStyle w:val="Heading1"/>
      </w:pPr>
      <w:r>
        <w:t>21. Servicio interno FastAPI</w:t>
      </w:r>
    </w:p>
    <w:p>
      <w:pPr>
        <w:pStyle w:val="Heading2"/>
      </w:pPr>
      <w:r>
        <w:t>21.1 Endpoints mínimos</w:t>
      </w:r>
    </w:p>
    <w:p>
      <w:pPr>
        <w:pStyle w:val="CodeBlock"/>
      </w:pPr>
      <w:r>
        <w:t>POST   /api/v1/photometries/import</w:t>
        <w:br/>
        <w:t>GET    /api/v1/photometries/{id}</w:t>
        <w:br/>
        <w:t>POST   /api/v1/surfaces/import-rtable</w:t>
        <w:br/>
        <w:t>GET    /api/v1/surfaces/library</w:t>
        <w:br/>
        <w:t>POST   /api/v1/projects</w:t>
        <w:br/>
        <w:t>POST   /api/v1/projects/{id}/revisions</w:t>
        <w:br/>
        <w:t>POST   /api/v1/calculations</w:t>
        <w:br/>
        <w:t>GET    /api/v1/calculations/{run_id}</w:t>
        <w:br/>
        <w:t>GET    /api/v1/calculations/{run_id}/results</w:t>
        <w:br/>
        <w:t>POST   /api/v1/optimizations</w:t>
        <w:br/>
        <w:t>GET    /api/v1/optimizations/{id}</w:t>
        <w:br/>
        <w:t>POST   /api/v1/validations/cie140</w:t>
        <w:br/>
        <w:t>GET    /api/v1/health</w:t>
        <w:br/>
        <w:t>GET    /api/v1/version</w:t>
        <w:br/>
      </w:r>
    </w:p>
    <w:p>
      <w:pPr>
        <w:pStyle w:val="Heading2"/>
      </w:pPr>
      <w:r>
        <w:t>21.2 Ejecución asíncrona</w:t>
      </w:r>
    </w:p>
    <w:p>
      <w:pPr>
        <w:pStyle w:val="ListBullet"/>
      </w:pPr>
      <w:r>
        <w:t>Las operaciones de importación pequeña podrán ser síncronas.</w:t>
      </w:r>
    </w:p>
    <w:p>
      <w:pPr>
        <w:pStyle w:val="ListBullet"/>
      </w:pPr>
      <w:r>
        <w:t>Los cálculos definitivos, radiosidad y optimizaciones serán trabajos asíncronos.</w:t>
      </w:r>
    </w:p>
    <w:p>
      <w:pPr>
        <w:pStyle w:val="ListBullet"/>
      </w:pPr>
      <w:r>
        <w:t>Estado: QUEUED, VALIDATING, RUNNING_DIRECT, RUNNING_RADIOSITY, COMPUTING_METRICS, PERSISTING, COMPLETED, FAILED, CANCELLED.</w:t>
      </w:r>
    </w:p>
    <w:p>
      <w:pPr>
        <w:pStyle w:val="ListBullet"/>
      </w:pPr>
      <w:r>
        <w:t>Progreso granular y mensajes no técnicos para UI, más logs técnicos correlacionados.</w:t>
      </w:r>
    </w:p>
    <w:p>
      <w:pPr>
        <w:pStyle w:val="ListBullet"/>
      </w:pPr>
      <w:r>
        <w:t>Cancelación cooperativa y checkpoints en optimización.</w:t>
      </w:r>
    </w:p>
    <w:p>
      <w:pPr>
        <w:pStyle w:val="Heading2"/>
      </w:pPr>
      <w:r>
        <w:t>21.3 Contratos</w:t>
      </w:r>
    </w:p>
    <w:p>
      <w:r>
        <w:t>Pydantic será la fuente de verdad de los contratos backend. Se generará OpenAPI y, a partir de ella, tipos TypeScript. No se duplicarán manualmente interfaces que puedan divergir.</w:t>
      </w:r>
    </w:p>
    <w:p>
      <w:pPr>
        <w:pStyle w:val="Heading1"/>
      </w:pPr>
      <w:r>
        <w:t>22. Integración React y experiencia de usuario</w:t>
      </w:r>
    </w:p>
    <w:p>
      <w:pPr>
        <w:pStyle w:val="ListBullet"/>
      </w:pPr>
      <w:r>
        <w:t>Layout obligatorio Salvi Studio con barra superior, panel izquierdo, lienzo central, panel derecho y barra de estado.</w:t>
      </w:r>
    </w:p>
    <w:p>
      <w:pPr>
        <w:pStyle w:val="ListBullet"/>
      </w:pPr>
      <w:r>
        <w:t>Editor de geometría y secciones con validación inmediata.</w:t>
      </w:r>
    </w:p>
    <w:p>
      <w:pPr>
        <w:pStyle w:val="ListBullet"/>
      </w:pPr>
      <w:r>
        <w:t>Importador LDT/IES con informe de calidad y vista polar/cartesiana.</w:t>
      </w:r>
    </w:p>
    <w:p>
      <w:pPr>
        <w:pStyle w:val="ListBullet"/>
      </w:pPr>
      <w:r>
        <w:t>Biblioteca de pavimentos con comparación de Qd, Q0 y S1.</w:t>
      </w:r>
    </w:p>
    <w:p>
      <w:pPr>
        <w:pStyle w:val="ListBullet"/>
      </w:pPr>
      <w:r>
        <w:t>Editor de filas, luminarias, circuitos y escenarios.</w:t>
      </w:r>
    </w:p>
    <w:p>
      <w:pPr>
        <w:pStyle w:val="ListBullet"/>
      </w:pPr>
      <w:r>
        <w:t>Visualización 2D/3D de mallas, observadores, rayos, contribuciones y resultados.</w:t>
      </w:r>
    </w:p>
    <w:p>
      <w:pPr>
        <w:pStyle w:val="ListBullet"/>
      </w:pPr>
      <w:r>
        <w:t>Mapas de calor e isolíneas con escalas y unidades explícitas.</w:t>
      </w:r>
    </w:p>
    <w:p>
      <w:pPr>
        <w:pStyle w:val="ListBullet"/>
      </w:pPr>
      <w:r>
        <w:t>Comparación lado a lado DIRECT frente a DIRECT_PLUS_RADIOSITY.</w:t>
      </w:r>
    </w:p>
    <w:p>
      <w:pPr>
        <w:pStyle w:val="ListBullet"/>
      </w:pPr>
      <w:r>
        <w:t>Panel de cumplimiento con valor, límite, margen, estado y referencia normativa.</w:t>
      </w:r>
    </w:p>
    <w:p>
      <w:pPr>
        <w:pStyle w:val="ListBullet"/>
      </w:pPr>
      <w:r>
        <w:t>Historial de revisiones y ejecuciones.</w:t>
      </w:r>
    </w:p>
    <w:p>
      <w:pPr>
        <w:pStyle w:val="Heading2"/>
      </w:pPr>
      <w:r>
        <w:t>22.1 Gestión de precisión en UI</w:t>
      </w:r>
    </w:p>
    <w:p>
      <w:r>
        <w:t>La UI no recalculará métricas normativas. Solo formateará valores del backend. Los valores mostrados utilizarán redondeo de presentación, pero las comparaciones de cumplimiento se realizarán con valores sin redondear en backend.</w:t>
      </w:r>
    </w:p>
    <w:p>
      <w:pPr>
        <w:pStyle w:val="Heading1"/>
      </w:pPr>
      <w:r>
        <w:t>23. Rendimiento y escalabilidad</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PERF-001</w:t>
            </w:r>
          </w:p>
        </w:tc>
        <w:tc>
          <w:tcPr>
            <w:tcW w:type="dxa" w:w="2464"/>
            <w:vAlign w:val="center"/>
          </w:tcPr>
          <w:p>
            <w:r/>
            <w:r>
              <w:rPr>
                <w:b w:val="0"/>
                <w:sz w:val="16"/>
              </w:rPr>
              <w:t>Usar float64 para cálculo definitivo.</w:t>
            </w:r>
          </w:p>
        </w:tc>
        <w:tc>
          <w:tcPr>
            <w:tcW w:type="dxa" w:w="2464"/>
            <w:vAlign w:val="center"/>
          </w:tcPr>
          <w:p>
            <w:r/>
            <w:r>
              <w:rPr>
                <w:b w:val="0"/>
                <w:sz w:val="16"/>
              </w:rPr>
              <w:t>Crítica</w:t>
            </w:r>
          </w:p>
        </w:tc>
        <w:tc>
          <w:tcPr>
            <w:tcW w:type="dxa" w:w="2464"/>
            <w:vAlign w:val="center"/>
          </w:tcPr>
          <w:p>
            <w:r/>
            <w:r>
              <w:rPr>
                <w:b w:val="0"/>
                <w:sz w:val="16"/>
              </w:rPr>
              <w:t>No se degrada a float32 en rutas normativas.</w:t>
            </w:r>
          </w:p>
        </w:tc>
      </w:tr>
      <w:tr>
        <w:tc>
          <w:tcPr>
            <w:tcW w:type="dxa" w:w="2464"/>
            <w:vAlign w:val="center"/>
          </w:tcPr>
          <w:p>
            <w:r/>
            <w:r>
              <w:rPr>
                <w:b/>
                <w:sz w:val="16"/>
              </w:rPr>
              <w:t>PERF-002</w:t>
            </w:r>
          </w:p>
        </w:tc>
        <w:tc>
          <w:tcPr>
            <w:tcW w:type="dxa" w:w="2464"/>
            <w:vAlign w:val="center"/>
          </w:tcPr>
          <w:p>
            <w:r/>
            <w:r>
              <w:rPr>
                <w:b w:val="0"/>
                <w:sz w:val="16"/>
              </w:rPr>
              <w:t>Vectorizar puntos y luminarias por bloques para limitar memoria.</w:t>
            </w:r>
          </w:p>
        </w:tc>
        <w:tc>
          <w:tcPr>
            <w:tcW w:type="dxa" w:w="2464"/>
            <w:vAlign w:val="center"/>
          </w:tcPr>
          <w:p>
            <w:r/>
            <w:r>
              <w:rPr>
                <w:b w:val="0"/>
                <w:sz w:val="16"/>
              </w:rPr>
              <w:t>Alta</w:t>
            </w:r>
          </w:p>
        </w:tc>
        <w:tc>
          <w:tcPr>
            <w:tcW w:type="dxa" w:w="2464"/>
            <w:vAlign w:val="center"/>
          </w:tcPr>
          <w:p>
            <w:r/>
            <w:r>
              <w:rPr>
                <w:b w:val="0"/>
                <w:sz w:val="16"/>
              </w:rPr>
              <w:t>El cálculo escala sin construir matrices densas imposibles.</w:t>
            </w:r>
          </w:p>
        </w:tc>
      </w:tr>
      <w:tr>
        <w:tc>
          <w:tcPr>
            <w:tcW w:type="dxa" w:w="2464"/>
            <w:vAlign w:val="center"/>
          </w:tcPr>
          <w:p>
            <w:r/>
            <w:r>
              <w:rPr>
                <w:b/>
                <w:sz w:val="16"/>
              </w:rPr>
              <w:t>PERF-003</w:t>
            </w:r>
          </w:p>
        </w:tc>
        <w:tc>
          <w:tcPr>
            <w:tcW w:type="dxa" w:w="2464"/>
            <w:vAlign w:val="center"/>
          </w:tcPr>
          <w:p>
            <w:r/>
            <w:r>
              <w:rPr>
                <w:b w:val="0"/>
                <w:sz w:val="16"/>
              </w:rPr>
              <w:t>Permitir paralelización por escenario, observador, zona o bloque de puntos.</w:t>
            </w:r>
          </w:p>
        </w:tc>
        <w:tc>
          <w:tcPr>
            <w:tcW w:type="dxa" w:w="2464"/>
            <w:vAlign w:val="center"/>
          </w:tcPr>
          <w:p>
            <w:r/>
            <w:r>
              <w:rPr>
                <w:b w:val="0"/>
                <w:sz w:val="16"/>
              </w:rPr>
              <w:t>Alta</w:t>
            </w:r>
          </w:p>
        </w:tc>
        <w:tc>
          <w:tcPr>
            <w:tcW w:type="dxa" w:w="2464"/>
            <w:vAlign w:val="center"/>
          </w:tcPr>
          <w:p>
            <w:r/>
            <w:r>
              <w:rPr>
                <w:b w:val="0"/>
                <w:sz w:val="16"/>
              </w:rPr>
              <w:t>Los resultados permanecen deterministas dentro de tolerancia.</w:t>
            </w:r>
          </w:p>
        </w:tc>
      </w:tr>
      <w:tr>
        <w:tc>
          <w:tcPr>
            <w:tcW w:type="dxa" w:w="2464"/>
            <w:vAlign w:val="center"/>
          </w:tcPr>
          <w:p>
            <w:r/>
            <w:r>
              <w:rPr>
                <w:b/>
                <w:sz w:val="16"/>
              </w:rPr>
              <w:t>PERF-004</w:t>
            </w:r>
          </w:p>
        </w:tc>
        <w:tc>
          <w:tcPr>
            <w:tcW w:type="dxa" w:w="2464"/>
            <w:vAlign w:val="center"/>
          </w:tcPr>
          <w:p>
            <w:r/>
            <w:r>
              <w:rPr>
                <w:b w:val="0"/>
                <w:sz w:val="16"/>
              </w:rPr>
              <w:t>Cachear fotometrías normalizadas, r-tables, geometría triangulada y factores de forma.</w:t>
            </w:r>
          </w:p>
        </w:tc>
        <w:tc>
          <w:tcPr>
            <w:tcW w:type="dxa" w:w="2464"/>
            <w:vAlign w:val="center"/>
          </w:tcPr>
          <w:p>
            <w:r/>
            <w:r>
              <w:rPr>
                <w:b w:val="0"/>
                <w:sz w:val="16"/>
              </w:rPr>
              <w:t>Alta</w:t>
            </w:r>
          </w:p>
        </w:tc>
        <w:tc>
          <w:tcPr>
            <w:tcW w:type="dxa" w:w="2464"/>
            <w:vAlign w:val="center"/>
          </w:tcPr>
          <w:p>
            <w:r/>
            <w:r>
              <w:rPr>
                <w:b w:val="0"/>
                <w:sz w:val="16"/>
              </w:rPr>
              <w:t>La invalidez de caché depende de hashes de entrada.</w:t>
            </w:r>
          </w:p>
        </w:tc>
      </w:tr>
      <w:tr>
        <w:tc>
          <w:tcPr>
            <w:tcW w:type="dxa" w:w="2464"/>
            <w:vAlign w:val="center"/>
          </w:tcPr>
          <w:p>
            <w:r/>
            <w:r>
              <w:rPr>
                <w:b/>
                <w:sz w:val="16"/>
              </w:rPr>
              <w:t>PERF-005</w:t>
            </w:r>
          </w:p>
        </w:tc>
        <w:tc>
          <w:tcPr>
            <w:tcW w:type="dxa" w:w="2464"/>
            <w:vAlign w:val="center"/>
          </w:tcPr>
          <w:p>
            <w:r/>
            <w:r>
              <w:rPr>
                <w:b w:val="0"/>
                <w:sz w:val="16"/>
              </w:rPr>
              <w:t>Proporcionar estimación previa de coste y memoria.</w:t>
            </w:r>
          </w:p>
        </w:tc>
        <w:tc>
          <w:tcPr>
            <w:tcW w:type="dxa" w:w="2464"/>
            <w:vAlign w:val="center"/>
          </w:tcPr>
          <w:p>
            <w:r/>
            <w:r>
              <w:rPr>
                <w:b w:val="0"/>
                <w:sz w:val="16"/>
              </w:rPr>
              <w:t>Media</w:t>
            </w:r>
          </w:p>
        </w:tc>
        <w:tc>
          <w:tcPr>
            <w:tcW w:type="dxa" w:w="2464"/>
            <w:vAlign w:val="center"/>
          </w:tcPr>
          <w:p>
            <w:r/>
            <w:r>
              <w:rPr>
                <w:b w:val="0"/>
                <w:sz w:val="16"/>
              </w:rPr>
              <w:t>La UI advierte antes de lanzar configuraciones excesivas.</w:t>
            </w:r>
          </w:p>
        </w:tc>
      </w:tr>
    </w:tbl>
    <w:p/>
    <w:p>
      <w:pPr>
        <w:pStyle w:val="Heading2"/>
      </w:pPr>
      <w:r>
        <w:t>23.1 Objetivos iniciales</w:t>
      </w:r>
    </w:p>
    <w:p>
      <w:pPr>
        <w:pStyle w:val="ListBullet"/>
      </w:pPr>
      <w:r>
        <w:t>Preview de proyecto medio: menos de 3 s en hardware servidor de referencia.</w:t>
      </w:r>
    </w:p>
    <w:p>
      <w:pPr>
        <w:pStyle w:val="ListBullet"/>
      </w:pPr>
      <w:r>
        <w:t>Cálculo directo definitivo: menos de 30 s para 500 luminarias, 50.000 puntos y 4 escenarios, sujeto a benchmark de referencia.</w:t>
      </w:r>
    </w:p>
    <w:p>
      <w:pPr>
        <w:pStyle w:val="ListBullet"/>
      </w:pPr>
      <w:r>
        <w:t>Radiosidad: objetivo inferior a 5 min para 20.000 parches y tolerancia estándar, con reutilización de factores de forma.</w:t>
      </w:r>
    </w:p>
    <w:p>
      <w:pPr>
        <w:pStyle w:val="ListBullet"/>
      </w:pPr>
      <w:r>
        <w:t>Optimización: progreso visible y resultados parciales; duración configurable.</w:t>
      </w:r>
    </w:p>
    <w:p>
      <w:pPr>
        <w:pStyle w:val="Heading1"/>
      </w:pPr>
      <w:r>
        <w:t>24. Validación de entradas y gestión de errores</w:t>
      </w:r>
    </w:p>
    <w:p>
      <w:pPr>
        <w:pStyle w:val="ListBullet"/>
      </w:pPr>
      <w:r>
        <w:t>Errores de formato fotométrico con línea/campo afectado.</w:t>
      </w:r>
    </w:p>
    <w:p>
      <w:pPr>
        <w:pStyle w:val="ListBullet"/>
      </w:pPr>
      <w:r>
        <w:t>Unidades ausentes o incoherentes.</w:t>
      </w:r>
    </w:p>
    <w:p>
      <w:pPr>
        <w:pStyle w:val="ListBullet"/>
      </w:pPr>
      <w:r>
        <w:t>Flujo, potencia o reflectancia fuera de rango.</w:t>
      </w:r>
    </w:p>
    <w:p>
      <w:pPr>
        <w:pStyle w:val="ListBullet"/>
      </w:pPr>
      <w:r>
        <w:t>Geometría abierta, invertida o autointersectada.</w:t>
      </w:r>
    </w:p>
    <w:p>
      <w:pPr>
        <w:pStyle w:val="ListBullet"/>
      </w:pPr>
      <w:r>
        <w:t>Luminarias dentro de superficies o a distancia cero.</w:t>
      </w:r>
    </w:p>
    <w:p>
      <w:pPr>
        <w:pStyle w:val="ListBullet"/>
      </w:pPr>
      <w:r>
        <w:t>Malla sin puntos válidos.</w:t>
      </w:r>
    </w:p>
    <w:p>
      <w:pPr>
        <w:pStyle w:val="ListBullet"/>
      </w:pPr>
      <w:r>
        <w:t>Observador fuera de dominio.</w:t>
      </w:r>
    </w:p>
    <w:p>
      <w:pPr>
        <w:pStyle w:val="ListBullet"/>
      </w:pPr>
      <w:r>
        <w:t>Consulta de r-table fuera de cobertura.</w:t>
      </w:r>
    </w:p>
    <w:p>
      <w:pPr>
        <w:pStyle w:val="ListBullet"/>
      </w:pPr>
      <w:r>
        <w:t>No convergencia de radiosidad.</w:t>
      </w:r>
    </w:p>
    <w:p>
      <w:pPr>
        <w:pStyle w:val="ListBullet"/>
      </w:pPr>
      <w:r>
        <w:t>Problema de optimización inviable.</w:t>
      </w:r>
    </w:p>
    <w:p>
      <w:pPr>
        <w:pStyle w:val="ListBullet"/>
      </w:pPr>
      <w:r>
        <w:t>Desviaciones normativas configuradas por el usuario.</w:t>
      </w:r>
    </w:p>
    <w:p>
      <w:r>
        <w:t>Los errores se clasificarán como ERROR, WARNING e INFO. Un WARNING nunca deberá cambiar silenciosamente el método; toda sustitución, recorte o fallback se declarará en el resultado y el informe.</w:t>
      </w:r>
    </w:p>
    <w:p>
      <w:pPr>
        <w:pStyle w:val="Heading1"/>
      </w:pPr>
      <w:r>
        <w:t>25. Estrategia de validación y pruebas</w:t>
      </w:r>
    </w:p>
    <w:p>
      <w:pPr>
        <w:pStyle w:val="Heading2"/>
      </w:pPr>
      <w:r>
        <w:t>25.1 Niveles de prueba</w:t>
      </w:r>
    </w:p>
    <w:p>
      <w:pPr>
        <w:pStyle w:val="ListBullet"/>
      </w:pPr>
      <w:r>
        <w:t>Unitarias de fórmulas, unidades, matrices, interpolación y estadísticas.</w:t>
      </w:r>
    </w:p>
    <w:p>
      <w:pPr>
        <w:pStyle w:val="ListBullet"/>
      </w:pPr>
      <w:r>
        <w:t>Property-based con Hypothesis para invariantes geométricos y energéticos.</w:t>
      </w:r>
    </w:p>
    <w:p>
      <w:pPr>
        <w:pStyle w:val="ListBullet"/>
      </w:pPr>
      <w:r>
        <w:t>Integración de importadores LDT/IES y r-tables.</w:t>
      </w:r>
    </w:p>
    <w:p>
      <w:pPr>
        <w:pStyle w:val="ListBullet"/>
      </w:pPr>
      <w:r>
        <w:t>Benchmarks CIE 140 con los siete casos y valores de referencia disponibles.</w:t>
      </w:r>
    </w:p>
    <w:p>
      <w:pPr>
        <w:pStyle w:val="ListBullet"/>
      </w:pPr>
      <w:r>
        <w:t>Regresión con proyectos reales Salvi y resultados aprobados.</w:t>
      </w:r>
    </w:p>
    <w:p>
      <w:pPr>
        <w:pStyle w:val="ListBullet"/>
      </w:pPr>
      <w:r>
        <w:t>Comparación externa controlada con ReluxTunnel u otra herramienta solo como referencia secundaria, nunca como fuente de verdad.</w:t>
      </w:r>
    </w:p>
    <w:p>
      <w:pPr>
        <w:pStyle w:val="ListBullet"/>
      </w:pPr>
      <w:r>
        <w:t>Pruebas de rendimiento y memoria.</w:t>
      </w:r>
    </w:p>
    <w:p>
      <w:pPr>
        <w:pStyle w:val="ListBullet"/>
      </w:pPr>
      <w:r>
        <w:t>Pruebas API y persistencia.</w:t>
      </w:r>
    </w:p>
    <w:p>
      <w:pPr>
        <w:pStyle w:val="ListBullet"/>
      </w:pPr>
      <w:r>
        <w:t>Pruebas end-to-end con frontend.</w:t>
      </w:r>
    </w:p>
    <w:p>
      <w:pPr>
        <w:pStyle w:val="Heading2"/>
      </w:pPr>
      <w:r>
        <w:t>25.2 Casos obligatorios</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TST-001</w:t>
            </w:r>
          </w:p>
        </w:tc>
        <w:tc>
          <w:tcPr>
            <w:tcW w:type="dxa" w:w="2464"/>
            <w:vAlign w:val="center"/>
          </w:tcPr>
          <w:p>
            <w:r/>
            <w:r>
              <w:rPr>
                <w:b w:val="0"/>
                <w:sz w:val="16"/>
              </w:rPr>
              <w:t>Interpolación bilineal en nodos, aristas, interior y periodicidad C.</w:t>
            </w:r>
          </w:p>
        </w:tc>
        <w:tc>
          <w:tcPr>
            <w:tcW w:type="dxa" w:w="2464"/>
            <w:vAlign w:val="center"/>
          </w:tcPr>
          <w:p>
            <w:r/>
            <w:r>
              <w:rPr>
                <w:b w:val="0"/>
                <w:sz w:val="16"/>
              </w:rPr>
              <w:t>Crítica</w:t>
            </w:r>
          </w:p>
        </w:tc>
        <w:tc>
          <w:tcPr>
            <w:tcW w:type="dxa" w:w="2464"/>
            <w:vAlign w:val="center"/>
          </w:tcPr>
          <w:p>
            <w:r/>
            <w:r>
              <w:rPr>
                <w:b w:val="0"/>
                <w:sz w:val="16"/>
              </w:rPr>
              <w:t>Error &lt; 1e-12 para casos sintéticos lineales.</w:t>
            </w:r>
          </w:p>
        </w:tc>
      </w:tr>
      <w:tr>
        <w:tc>
          <w:tcPr>
            <w:tcW w:type="dxa" w:w="2464"/>
            <w:vAlign w:val="center"/>
          </w:tcPr>
          <w:p>
            <w:r/>
            <w:r>
              <w:rPr>
                <w:b/>
                <w:sz w:val="16"/>
              </w:rPr>
              <w:t>TST-002</w:t>
            </w:r>
          </w:p>
        </w:tc>
        <w:tc>
          <w:tcPr>
            <w:tcW w:type="dxa" w:w="2464"/>
            <w:vAlign w:val="center"/>
          </w:tcPr>
          <w:p>
            <w:r/>
            <w:r>
              <w:rPr>
                <w:b w:val="0"/>
                <w:sz w:val="16"/>
              </w:rPr>
              <w:t>Transformaciones con orientación, tilt y rotación aisladas y combinadas.</w:t>
            </w:r>
          </w:p>
        </w:tc>
        <w:tc>
          <w:tcPr>
            <w:tcW w:type="dxa" w:w="2464"/>
            <w:vAlign w:val="center"/>
          </w:tcPr>
          <w:p>
            <w:r/>
            <w:r>
              <w:rPr>
                <w:b w:val="0"/>
                <w:sz w:val="16"/>
              </w:rPr>
              <w:t>Crítica</w:t>
            </w:r>
          </w:p>
        </w:tc>
        <w:tc>
          <w:tcPr>
            <w:tcW w:type="dxa" w:w="2464"/>
            <w:vAlign w:val="center"/>
          </w:tcPr>
          <w:p>
            <w:r/>
            <w:r>
              <w:rPr>
                <w:b w:val="0"/>
                <w:sz w:val="16"/>
              </w:rPr>
              <w:t>Coincidencia con vectores de referencia.</w:t>
            </w:r>
          </w:p>
        </w:tc>
      </w:tr>
      <w:tr>
        <w:tc>
          <w:tcPr>
            <w:tcW w:type="dxa" w:w="2464"/>
            <w:vAlign w:val="center"/>
          </w:tcPr>
          <w:p>
            <w:r/>
            <w:r>
              <w:rPr>
                <w:b/>
                <w:sz w:val="16"/>
              </w:rPr>
              <w:t>TST-003</w:t>
            </w:r>
          </w:p>
        </w:tc>
        <w:tc>
          <w:tcPr>
            <w:tcW w:type="dxa" w:w="2464"/>
            <w:vAlign w:val="center"/>
          </w:tcPr>
          <w:p>
            <w:r/>
            <w:r>
              <w:rPr>
                <w:b w:val="0"/>
                <w:sz w:val="16"/>
              </w:rPr>
              <w:t>Ley inversa del cuadrado y coseno en plano arbitrario.</w:t>
            </w:r>
          </w:p>
        </w:tc>
        <w:tc>
          <w:tcPr>
            <w:tcW w:type="dxa" w:w="2464"/>
            <w:vAlign w:val="center"/>
          </w:tcPr>
          <w:p>
            <w:r/>
            <w:r>
              <w:rPr>
                <w:b w:val="0"/>
                <w:sz w:val="16"/>
              </w:rPr>
              <w:t>Crítica</w:t>
            </w:r>
          </w:p>
        </w:tc>
        <w:tc>
          <w:tcPr>
            <w:tcW w:type="dxa" w:w="2464"/>
            <w:vAlign w:val="center"/>
          </w:tcPr>
          <w:p>
            <w:r/>
            <w:r>
              <w:rPr>
                <w:b w:val="0"/>
                <w:sz w:val="16"/>
              </w:rPr>
              <w:t>Coincidencia analítica.</w:t>
            </w:r>
          </w:p>
        </w:tc>
      </w:tr>
      <w:tr>
        <w:tc>
          <w:tcPr>
            <w:tcW w:type="dxa" w:w="2464"/>
            <w:vAlign w:val="center"/>
          </w:tcPr>
          <w:p>
            <w:r/>
            <w:r>
              <w:rPr>
                <w:b/>
                <w:sz w:val="16"/>
              </w:rPr>
              <w:t>TST-004</w:t>
            </w:r>
          </w:p>
        </w:tc>
        <w:tc>
          <w:tcPr>
            <w:tcW w:type="dxa" w:w="2464"/>
            <w:vAlign w:val="center"/>
          </w:tcPr>
          <w:p>
            <w:r/>
            <w:r>
              <w:rPr>
                <w:b w:val="0"/>
                <w:sz w:val="16"/>
              </w:rPr>
              <w:t>r-table C1-C2, R1-R4, N1-N4 y W1-W4 cargadas y consultables.</w:t>
            </w:r>
          </w:p>
        </w:tc>
        <w:tc>
          <w:tcPr>
            <w:tcW w:type="dxa" w:w="2464"/>
            <w:vAlign w:val="center"/>
          </w:tcPr>
          <w:p>
            <w:r/>
            <w:r>
              <w:rPr>
                <w:b w:val="0"/>
                <w:sz w:val="16"/>
              </w:rPr>
              <w:t>Crítica</w:t>
            </w:r>
          </w:p>
        </w:tc>
        <w:tc>
          <w:tcPr>
            <w:tcW w:type="dxa" w:w="2464"/>
            <w:vAlign w:val="center"/>
          </w:tcPr>
          <w:p>
            <w:r/>
            <w:r>
              <w:rPr>
                <w:b w:val="0"/>
                <w:sz w:val="16"/>
              </w:rPr>
              <w:t>Hash y dimensiones esperadas; nodos de control verificados.</w:t>
            </w:r>
          </w:p>
        </w:tc>
      </w:tr>
      <w:tr>
        <w:tc>
          <w:tcPr>
            <w:tcW w:type="dxa" w:w="2464"/>
            <w:vAlign w:val="center"/>
          </w:tcPr>
          <w:p>
            <w:r/>
            <w:r>
              <w:rPr>
                <w:b/>
                <w:sz w:val="16"/>
              </w:rPr>
              <w:t>TST-005</w:t>
            </w:r>
          </w:p>
        </w:tc>
        <w:tc>
          <w:tcPr>
            <w:tcW w:type="dxa" w:w="2464"/>
            <w:vAlign w:val="center"/>
          </w:tcPr>
          <w:p>
            <w:r/>
            <w:r>
              <w:rPr>
                <w:b w:val="0"/>
                <w:sz w:val="16"/>
              </w:rPr>
              <w:t>Celdas vacías no tratadas como cero.</w:t>
            </w:r>
          </w:p>
        </w:tc>
        <w:tc>
          <w:tcPr>
            <w:tcW w:type="dxa" w:w="2464"/>
            <w:vAlign w:val="center"/>
          </w:tcPr>
          <w:p>
            <w:r/>
            <w:r>
              <w:rPr>
                <w:b w:val="0"/>
                <w:sz w:val="16"/>
              </w:rPr>
              <w:t>Crítica</w:t>
            </w:r>
          </w:p>
        </w:tc>
        <w:tc>
          <w:tcPr>
            <w:tcW w:type="dxa" w:w="2464"/>
            <w:vAlign w:val="center"/>
          </w:tcPr>
          <w:p>
            <w:r/>
            <w:r>
              <w:rPr>
                <w:b w:val="0"/>
                <w:sz w:val="16"/>
              </w:rPr>
              <w:t>Se genera estado de dominio correcto.</w:t>
            </w:r>
          </w:p>
        </w:tc>
      </w:tr>
      <w:tr>
        <w:tc>
          <w:tcPr>
            <w:tcW w:type="dxa" w:w="2464"/>
            <w:vAlign w:val="center"/>
          </w:tcPr>
          <w:p>
            <w:r/>
            <w:r>
              <w:rPr>
                <w:b/>
                <w:sz w:val="16"/>
              </w:rPr>
              <w:t>TST-006</w:t>
            </w:r>
          </w:p>
        </w:tc>
        <w:tc>
          <w:tcPr>
            <w:tcW w:type="dxa" w:w="2464"/>
            <w:vAlign w:val="center"/>
          </w:tcPr>
          <w:p>
            <w:r/>
            <w:r>
              <w:rPr>
                <w:b w:val="0"/>
                <w:sz w:val="16"/>
              </w:rPr>
              <w:t>Recinto lambertiano simple para radiosidad.</w:t>
            </w:r>
          </w:p>
        </w:tc>
        <w:tc>
          <w:tcPr>
            <w:tcW w:type="dxa" w:w="2464"/>
            <w:vAlign w:val="center"/>
          </w:tcPr>
          <w:p>
            <w:r/>
            <w:r>
              <w:rPr>
                <w:b w:val="0"/>
                <w:sz w:val="16"/>
              </w:rPr>
              <w:t>Crítica</w:t>
            </w:r>
          </w:p>
        </w:tc>
        <w:tc>
          <w:tcPr>
            <w:tcW w:type="dxa" w:w="2464"/>
            <w:vAlign w:val="center"/>
          </w:tcPr>
          <w:p>
            <w:r/>
            <w:r>
              <w:rPr>
                <w:b w:val="0"/>
                <w:sz w:val="16"/>
              </w:rPr>
              <w:t>Balance energético y solución dentro de tolerancia.</w:t>
            </w:r>
          </w:p>
        </w:tc>
      </w:tr>
      <w:tr>
        <w:tc>
          <w:tcPr>
            <w:tcW w:type="dxa" w:w="2464"/>
            <w:vAlign w:val="center"/>
          </w:tcPr>
          <w:p>
            <w:r/>
            <w:r>
              <w:rPr>
                <w:b/>
                <w:sz w:val="16"/>
              </w:rPr>
              <w:t>TST-007</w:t>
            </w:r>
          </w:p>
        </w:tc>
        <w:tc>
          <w:tcPr>
            <w:tcW w:type="dxa" w:w="2464"/>
            <w:vAlign w:val="center"/>
          </w:tcPr>
          <w:p>
            <w:r/>
            <w:r>
              <w:rPr>
                <w:b w:val="0"/>
                <w:sz w:val="16"/>
              </w:rPr>
              <w:t>TI: inclusión/exclusión y máximo por movimiento.</w:t>
            </w:r>
          </w:p>
        </w:tc>
        <w:tc>
          <w:tcPr>
            <w:tcW w:type="dxa" w:w="2464"/>
            <w:vAlign w:val="center"/>
          </w:tcPr>
          <w:p>
            <w:r/>
            <w:r>
              <w:rPr>
                <w:b w:val="0"/>
                <w:sz w:val="16"/>
              </w:rPr>
              <w:t>Crítica</w:t>
            </w:r>
          </w:p>
        </w:tc>
        <w:tc>
          <w:tcPr>
            <w:tcW w:type="dxa" w:w="2464"/>
            <w:vAlign w:val="center"/>
          </w:tcPr>
          <w:p>
            <w:r/>
            <w:r>
              <w:rPr>
                <w:b w:val="0"/>
                <w:sz w:val="16"/>
              </w:rPr>
              <w:t>Resultados de casos de referencia.</w:t>
            </w:r>
          </w:p>
        </w:tc>
      </w:tr>
      <w:tr>
        <w:tc>
          <w:tcPr>
            <w:tcW w:type="dxa" w:w="2464"/>
            <w:vAlign w:val="center"/>
          </w:tcPr>
          <w:p>
            <w:r/>
            <w:r>
              <w:rPr>
                <w:b/>
                <w:sz w:val="16"/>
              </w:rPr>
              <w:t>TST-008</w:t>
            </w:r>
          </w:p>
        </w:tc>
        <w:tc>
          <w:tcPr>
            <w:tcW w:type="dxa" w:w="2464"/>
            <w:vAlign w:val="center"/>
          </w:tcPr>
          <w:p>
            <w:r/>
            <w:r>
              <w:rPr>
                <w:b w:val="0"/>
                <w:sz w:val="16"/>
              </w:rPr>
              <w:t>Determinismo entre ejecuciones.</w:t>
            </w:r>
          </w:p>
        </w:tc>
        <w:tc>
          <w:tcPr>
            <w:tcW w:type="dxa" w:w="2464"/>
            <w:vAlign w:val="center"/>
          </w:tcPr>
          <w:p>
            <w:r/>
            <w:r>
              <w:rPr>
                <w:b w:val="0"/>
                <w:sz w:val="16"/>
              </w:rPr>
              <w:t>Alta</w:t>
            </w:r>
          </w:p>
        </w:tc>
        <w:tc>
          <w:tcPr>
            <w:tcW w:type="dxa" w:w="2464"/>
            <w:vAlign w:val="center"/>
          </w:tcPr>
          <w:p>
            <w:r/>
            <w:r>
              <w:rPr>
                <w:b w:val="0"/>
                <w:sz w:val="16"/>
              </w:rPr>
              <w:t>Hash de resultados estable en mismo entorno.</w:t>
            </w:r>
          </w:p>
        </w:tc>
      </w:tr>
    </w:tbl>
    <w:p/>
    <w:p>
      <w:pPr>
        <w:pStyle w:val="Heading2"/>
      </w:pPr>
      <w:r>
        <w:t>25.3 Tolerancias</w:t>
      </w:r>
    </w:p>
    <w:p>
      <w:pPr>
        <w:pStyle w:val="ListBullet"/>
      </w:pPr>
      <w:r>
        <w:t>Geometría y trigonometría: tolerancia absoluta 1e-10 en pruebas unitarias.</w:t>
      </w:r>
    </w:p>
    <w:p>
      <w:pPr>
        <w:pStyle w:val="ListBullet"/>
      </w:pPr>
      <w:r>
        <w:t>Magnitudes fotométricas sintéticas: relativa 1e-8 salvo singularidades.</w:t>
      </w:r>
    </w:p>
    <w:p>
      <w:pPr>
        <w:pStyle w:val="ListBullet"/>
      </w:pPr>
      <w:r>
        <w:t>Benchmarks normativos: tolerancia definida por precisión publicada y redondeo de referencia; no se ajustará el algoritmo para coincidir con un valor redondeado erróneo.</w:t>
      </w:r>
    </w:p>
    <w:p>
      <w:pPr>
        <w:pStyle w:val="ListBullet"/>
      </w:pPr>
      <w:r>
        <w:t>Radiosidad: tolerancia por convergencia y discretización, con estudio de refinamiento.</w:t>
      </w:r>
    </w:p>
    <w:p>
      <w:pPr>
        <w:pStyle w:val="Heading1"/>
      </w:pPr>
      <w:r>
        <w:t>26. Resultados e informes</w:t>
      </w:r>
    </w:p>
    <w:p>
      <w:pPr>
        <w:pStyle w:val="Heading2"/>
      </w:pPr>
      <w:r>
        <w:t>26.1 Resultado técnico interno</w:t>
      </w:r>
    </w:p>
    <w:p>
      <w:pPr>
        <w:pStyle w:val="ListBullet"/>
      </w:pPr>
      <w:r>
        <w:t>Snapshot completo de entradas.</w:t>
      </w:r>
    </w:p>
    <w:p>
      <w:pPr>
        <w:pStyle w:val="ListBullet"/>
      </w:pPr>
      <w:r>
        <w:t>Versiones del motor, normas, fotometrías y superficies.</w:t>
      </w:r>
    </w:p>
    <w:p>
      <w:pPr>
        <w:pStyle w:val="ListBullet"/>
      </w:pPr>
      <w:r>
        <w:t>Método y opciones numéricas.</w:t>
      </w:r>
    </w:p>
    <w:p>
      <w:pPr>
        <w:pStyle w:val="ListBullet"/>
      </w:pPr>
      <w:r>
        <w:t>Mallas, observadores y luminarias incluidas.</w:t>
      </w:r>
    </w:p>
    <w:p>
      <w:pPr>
        <w:pStyle w:val="ListBullet"/>
      </w:pPr>
      <w:r>
        <w:t>Matrices y mapas de resultados.</w:t>
      </w:r>
    </w:p>
    <w:p>
      <w:pPr>
        <w:pStyle w:val="ListBullet"/>
      </w:pPr>
      <w:r>
        <w:t>Métricas y cumplimiento.</w:t>
      </w:r>
    </w:p>
    <w:p>
      <w:pPr>
        <w:pStyle w:val="ListBullet"/>
      </w:pPr>
      <w:r>
        <w:t>Contribuciones directas e indirectas.</w:t>
      </w:r>
    </w:p>
    <w:p>
      <w:pPr>
        <w:pStyle w:val="ListBullet"/>
      </w:pPr>
      <w:r>
        <w:t>Diagnósticos, advertencias y desviaciones.</w:t>
      </w:r>
    </w:p>
    <w:p>
      <w:pPr>
        <w:pStyle w:val="ListBullet"/>
      </w:pPr>
      <w:r>
        <w:t>Tiempos y consumo de recursos.</w:t>
      </w:r>
    </w:p>
    <w:p>
      <w:pPr>
        <w:pStyle w:val="Heading2"/>
      </w:pPr>
      <w:r>
        <w:t>26.2 Informes</w:t>
      </w:r>
    </w:p>
    <w:p>
      <w:pPr>
        <w:pStyle w:val="ListBullet"/>
      </w:pPr>
      <w:r>
        <w:t>Resumen comercial/cliente.</w:t>
      </w:r>
    </w:p>
    <w:p>
      <w:pPr>
        <w:pStyle w:val="ListBullet"/>
      </w:pPr>
      <w:r>
        <w:t>Informe técnico extenso equivalente a una ingeniería.</w:t>
      </w:r>
    </w:p>
    <w:p>
      <w:pPr>
        <w:pStyle w:val="ListBullet"/>
      </w:pPr>
      <w:r>
        <w:t>Informe de producción e instalación.</w:t>
      </w:r>
    </w:p>
    <w:p>
      <w:pPr>
        <w:pStyle w:val="ListBullet"/>
      </w:pPr>
      <w:r>
        <w:t>Informe de validación del motor.</w:t>
      </w:r>
    </w:p>
    <w:p>
      <w:pPr>
        <w:pStyle w:val="ListBullet"/>
      </w:pPr>
      <w:r>
        <w:t>Informe comparativo de alternativas.</w:t>
      </w:r>
    </w:p>
    <w:p>
      <w:pPr>
        <w:pStyle w:val="ListBullet"/>
      </w:pPr>
      <w:r>
        <w:t>Exportación CSV/Parquet de puntos y PDF/DOCX de informes en módulos posteriores.</w:t>
      </w:r>
    </w:p>
    <w:p>
      <w:pPr>
        <w:pStyle w:val="Heading1"/>
      </w:pPr>
      <w:r>
        <w:t>27. Seguridad, auditoría y operación</w:t>
      </w:r>
    </w:p>
    <w:p>
      <w:pPr>
        <w:pStyle w:val="ListBullet"/>
      </w:pPr>
      <w:r>
        <w:t>Límites de tamaño y tiempo para ficheros LDT/IES.</w:t>
      </w:r>
    </w:p>
    <w:p>
      <w:pPr>
        <w:pStyle w:val="ListBullet"/>
      </w:pPr>
      <w:r>
        <w:t>Análisis de contenido y nombres seguros; nunca ejecutar contenido importado.</w:t>
      </w:r>
    </w:p>
    <w:p>
      <w:pPr>
        <w:pStyle w:val="ListBullet"/>
      </w:pPr>
      <w:r>
        <w:t>Autenticación y autorización heredadas de Salvi Studio.</w:t>
      </w:r>
    </w:p>
    <w:p>
      <w:pPr>
        <w:pStyle w:val="ListBullet"/>
      </w:pPr>
      <w:r>
        <w:t>Auditoría de creación, modificación, cálculo, exportación y cambio de normas.</w:t>
      </w:r>
    </w:p>
    <w:p>
      <w:pPr>
        <w:pStyle w:val="ListBullet"/>
      </w:pPr>
      <w:r>
        <w:t>Logs estructurados con correlation_id y sin exponer datos sensibles.</w:t>
      </w:r>
    </w:p>
    <w:p>
      <w:pPr>
        <w:pStyle w:val="ListBullet"/>
      </w:pPr>
      <w:r>
        <w:t>Backups de PostgreSQL y almacenamiento de objetos.</w:t>
      </w:r>
    </w:p>
    <w:p>
      <w:pPr>
        <w:pStyle w:val="ListBullet"/>
      </w:pPr>
      <w:r>
        <w:t>Migraciones reversibles o con plan de rollback.</w:t>
      </w:r>
    </w:p>
    <w:p>
      <w:pPr>
        <w:pStyle w:val="ListBullet"/>
      </w:pPr>
      <w:r>
        <w:t>Health checks, métricas Prometheus y trazas OpenTelemetry recomendadas.</w:t>
      </w:r>
    </w:p>
    <w:p>
      <w:pPr>
        <w:pStyle w:val="Heading1"/>
      </w:pPr>
      <w:r>
        <w:t>28. Entregables que Claude debe generar</w:t>
      </w:r>
    </w:p>
    <w:p>
      <w:pPr>
        <w:pStyle w:val="ListNumber"/>
      </w:pPr>
      <w:r>
        <w:t>Repositorio completo con estructura definida.</w:t>
      </w:r>
    </w:p>
    <w:p>
      <w:pPr>
        <w:pStyle w:val="ListNumber"/>
      </w:pPr>
      <w:r>
        <w:t>Librería Python instalable mediante pyproject.toml.</w:t>
      </w:r>
    </w:p>
    <w:p>
      <w:pPr>
        <w:pStyle w:val="ListNumber"/>
      </w:pPr>
      <w:r>
        <w:t>Servicio FastAPI y worker asíncrono.</w:t>
      </w:r>
    </w:p>
    <w:p>
      <w:pPr>
        <w:pStyle w:val="ListNumber"/>
      </w:pPr>
      <w:r>
        <w:t>Esquema PostgreSQL y migraciones Alembic.</w:t>
      </w:r>
    </w:p>
    <w:p>
      <w:pPr>
        <w:pStyle w:val="ListNumber"/>
      </w:pPr>
      <w:r>
        <w:t>Importadores LDT e IES.</w:t>
      </w:r>
    </w:p>
    <w:p>
      <w:pPr>
        <w:pStyle w:val="ListNumber"/>
      </w:pPr>
      <w:r>
        <w:t>Biblioteca CIE 144 completa como datos versionados.</w:t>
      </w:r>
    </w:p>
    <w:p>
      <w:pPr>
        <w:pStyle w:val="ListNumber"/>
      </w:pPr>
      <w:r>
        <w:t>Motor directo.</w:t>
      </w:r>
    </w:p>
    <w:p>
      <w:pPr>
        <w:pStyle w:val="ListNumber"/>
      </w:pPr>
      <w:r>
        <w:t>Motor de radiosidad.</w:t>
      </w:r>
    </w:p>
    <w:p>
      <w:pPr>
        <w:pStyle w:val="ListNumber"/>
      </w:pPr>
      <w:r>
        <w:t>Métricas, observadores, TI y cumplimiento.</w:t>
      </w:r>
    </w:p>
    <w:p>
      <w:pPr>
        <w:pStyle w:val="ListNumber"/>
      </w:pPr>
      <w:r>
        <w:t>Motor de escenarios y regulación.</w:t>
      </w:r>
    </w:p>
    <w:p>
      <w:pPr>
        <w:pStyle w:val="ListNumber"/>
      </w:pPr>
      <w:r>
        <w:t>Motor de optimización inicial.</w:t>
      </w:r>
    </w:p>
    <w:p>
      <w:pPr>
        <w:pStyle w:val="ListNumber"/>
      </w:pPr>
      <w:r>
        <w:t>API OpenAPI y cliente TypeScript generado.</w:t>
      </w:r>
    </w:p>
    <w:p>
      <w:pPr>
        <w:pStyle w:val="ListNumber"/>
      </w:pPr>
      <w:r>
        <w:t>Componentes React mínimos para integrar el módulo.</w:t>
      </w:r>
    </w:p>
    <w:p>
      <w:pPr>
        <w:pStyle w:val="ListNumber"/>
      </w:pPr>
      <w:r>
        <w:t>Pruebas unitarias, integración, benchmarks, regresión y rendimiento.</w:t>
      </w:r>
    </w:p>
    <w:p>
      <w:pPr>
        <w:pStyle w:val="ListNumber"/>
      </w:pPr>
      <w:r>
        <w:t>Documentación de arquitectura, fórmulas, API, instalación, operación y extensión.</w:t>
      </w:r>
    </w:p>
    <w:p>
      <w:pPr>
        <w:pStyle w:val="ListNumber"/>
      </w:pPr>
      <w:r>
        <w:t>Dockerfiles y docker-compose para desarrollo.</w:t>
      </w:r>
    </w:p>
    <w:p>
      <w:pPr>
        <w:pStyle w:val="ListNumber"/>
      </w:pPr>
      <w:r>
        <w:t>Datos demo y scripts de carga.</w:t>
      </w:r>
    </w:p>
    <w:p>
      <w:pPr>
        <w:pStyle w:val="ListNumber"/>
      </w:pPr>
      <w:r>
        <w:t>Informe final de cobertura, benchmarks y limitaciones conocidas.</w:t>
      </w:r>
    </w:p>
    <w:p>
      <w:pPr>
        <w:pStyle w:val="Heading1"/>
      </w:pPr>
      <w:r>
        <w:t>29. Plan de implementación</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D9D9"/>
          </w:tcPr>
          <w:p>
            <w:r/>
            <w:r>
              <w:rPr>
                <w:b/>
                <w:sz w:val="17"/>
              </w:rPr>
              <w:t>Fase</w:t>
            </w:r>
          </w:p>
        </w:tc>
        <w:tc>
          <w:tcPr>
            <w:tcW w:type="dxa" w:w="3286"/>
            <w:vAlign w:val="center"/>
            <w:shd w:fill="D9D9D9"/>
          </w:tcPr>
          <w:p>
            <w:r/>
            <w:r>
              <w:rPr>
                <w:b/>
                <w:sz w:val="17"/>
              </w:rPr>
              <w:t>Contenido</w:t>
            </w:r>
          </w:p>
        </w:tc>
        <w:tc>
          <w:tcPr>
            <w:tcW w:type="dxa" w:w="3286"/>
            <w:vAlign w:val="center"/>
            <w:shd w:fill="D9D9D9"/>
          </w:tcPr>
          <w:p>
            <w:r/>
            <w:r>
              <w:rPr>
                <w:b/>
                <w:sz w:val="17"/>
              </w:rPr>
              <w:t>Salida obligatoria</w:t>
            </w:r>
          </w:p>
        </w:tc>
      </w:tr>
      <w:tr>
        <w:tc>
          <w:tcPr>
            <w:tcW w:type="dxa" w:w="3286"/>
            <w:vAlign w:val="center"/>
          </w:tcPr>
          <w:p>
            <w:r/>
            <w:r>
              <w:rPr>
                <w:b/>
                <w:sz w:val="16"/>
              </w:rPr>
              <w:t>Fase 0 · Fundaciones</w:t>
            </w:r>
          </w:p>
        </w:tc>
        <w:tc>
          <w:tcPr>
            <w:tcW w:type="dxa" w:w="3286"/>
            <w:vAlign w:val="center"/>
          </w:tcPr>
          <w:p>
            <w:r/>
            <w:r>
              <w:rPr>
                <w:b w:val="0"/>
                <w:sz w:val="16"/>
              </w:rPr>
              <w:t>Repositorio, CI, tipos, unidades, errores, configuración, arquitectura y contratos.</w:t>
            </w:r>
          </w:p>
        </w:tc>
        <w:tc>
          <w:tcPr>
            <w:tcW w:type="dxa" w:w="3286"/>
            <w:vAlign w:val="center"/>
          </w:tcPr>
          <w:p>
            <w:r/>
            <w:r>
              <w:rPr>
                <w:b w:val="0"/>
                <w:sz w:val="16"/>
              </w:rPr>
              <w:t>Código + pruebas + documentación + demo ejecutable</w:t>
            </w:r>
          </w:p>
        </w:tc>
      </w:tr>
      <w:tr>
        <w:tc>
          <w:tcPr>
            <w:tcW w:type="dxa" w:w="3286"/>
            <w:vAlign w:val="center"/>
          </w:tcPr>
          <w:p>
            <w:r/>
            <w:r>
              <w:rPr>
                <w:b/>
                <w:sz w:val="16"/>
              </w:rPr>
              <w:t>Fase 1 · Fotometrías y superficies</w:t>
            </w:r>
          </w:p>
        </w:tc>
        <w:tc>
          <w:tcPr>
            <w:tcW w:type="dxa" w:w="3286"/>
            <w:vAlign w:val="center"/>
          </w:tcPr>
          <w:p>
            <w:r/>
            <w:r>
              <w:rPr>
                <w:b w:val="0"/>
                <w:sz w:val="16"/>
              </w:rPr>
              <w:t>LDT, IES, normalización, interpolación, CIE 144 y custom r-tables.</w:t>
            </w:r>
          </w:p>
        </w:tc>
        <w:tc>
          <w:tcPr>
            <w:tcW w:type="dxa" w:w="3286"/>
            <w:vAlign w:val="center"/>
          </w:tcPr>
          <w:p>
            <w:r/>
            <w:r>
              <w:rPr>
                <w:b w:val="0"/>
                <w:sz w:val="16"/>
              </w:rPr>
              <w:t>Código + pruebas + documentación + demo ejecutable</w:t>
            </w:r>
          </w:p>
        </w:tc>
      </w:tr>
      <w:tr>
        <w:tc>
          <w:tcPr>
            <w:tcW w:type="dxa" w:w="3286"/>
            <w:vAlign w:val="center"/>
          </w:tcPr>
          <w:p>
            <w:r/>
            <w:r>
              <w:rPr>
                <w:b/>
                <w:sz w:val="16"/>
              </w:rPr>
              <w:t>Fase 2 · Geometría y mallas</w:t>
            </w:r>
          </w:p>
        </w:tc>
        <w:tc>
          <w:tcPr>
            <w:tcW w:type="dxa" w:w="3286"/>
            <w:vAlign w:val="center"/>
          </w:tcPr>
          <w:p>
            <w:r/>
            <w:r>
              <w:rPr>
                <w:b w:val="0"/>
                <w:sz w:val="16"/>
              </w:rPr>
              <w:t>Eje, secciones, superficies, luminarias, observadores, mallas y oclusión básica.</w:t>
            </w:r>
          </w:p>
        </w:tc>
        <w:tc>
          <w:tcPr>
            <w:tcW w:type="dxa" w:w="3286"/>
            <w:vAlign w:val="center"/>
          </w:tcPr>
          <w:p>
            <w:r/>
            <w:r>
              <w:rPr>
                <w:b w:val="0"/>
                <w:sz w:val="16"/>
              </w:rPr>
              <w:t>Código + pruebas + documentación + demo ejecutable</w:t>
            </w:r>
          </w:p>
        </w:tc>
      </w:tr>
      <w:tr>
        <w:tc>
          <w:tcPr>
            <w:tcW w:type="dxa" w:w="3286"/>
            <w:vAlign w:val="center"/>
          </w:tcPr>
          <w:p>
            <w:r/>
            <w:r>
              <w:rPr>
                <w:b/>
                <w:sz w:val="16"/>
              </w:rPr>
              <w:t>Fase 3 · Cálculo directo</w:t>
            </w:r>
          </w:p>
        </w:tc>
        <w:tc>
          <w:tcPr>
            <w:tcW w:type="dxa" w:w="3286"/>
            <w:vAlign w:val="center"/>
          </w:tcPr>
          <w:p>
            <w:r/>
            <w:r>
              <w:rPr>
                <w:b w:val="0"/>
                <w:sz w:val="16"/>
              </w:rPr>
              <w:t>Iluminancias, luminancia, métricas, escenarios y trazabilidad.</w:t>
            </w:r>
          </w:p>
        </w:tc>
        <w:tc>
          <w:tcPr>
            <w:tcW w:type="dxa" w:w="3286"/>
            <w:vAlign w:val="center"/>
          </w:tcPr>
          <w:p>
            <w:r/>
            <w:r>
              <w:rPr>
                <w:b w:val="0"/>
                <w:sz w:val="16"/>
              </w:rPr>
              <w:t>Código + pruebas + documentación + demo ejecutable</w:t>
            </w:r>
          </w:p>
        </w:tc>
      </w:tr>
      <w:tr>
        <w:tc>
          <w:tcPr>
            <w:tcW w:type="dxa" w:w="3286"/>
            <w:vAlign w:val="center"/>
          </w:tcPr>
          <w:p>
            <w:r/>
            <w:r>
              <w:rPr>
                <w:b/>
                <w:sz w:val="16"/>
              </w:rPr>
              <w:t>Fase 4 · TI y normativa de túneles</w:t>
            </w:r>
          </w:p>
        </w:tc>
        <w:tc>
          <w:tcPr>
            <w:tcW w:type="dxa" w:w="3286"/>
            <w:vAlign w:val="center"/>
          </w:tcPr>
          <w:p>
            <w:r/>
            <w:r>
              <w:rPr>
                <w:b w:val="0"/>
                <w:sz w:val="16"/>
              </w:rPr>
              <w:t>CIE 88, zonas, cumplimiento y casos de validación.</w:t>
            </w:r>
          </w:p>
        </w:tc>
        <w:tc>
          <w:tcPr>
            <w:tcW w:type="dxa" w:w="3286"/>
            <w:vAlign w:val="center"/>
          </w:tcPr>
          <w:p>
            <w:r/>
            <w:r>
              <w:rPr>
                <w:b w:val="0"/>
                <w:sz w:val="16"/>
              </w:rPr>
              <w:t>Código + pruebas + documentación + demo ejecutable</w:t>
            </w:r>
          </w:p>
        </w:tc>
      </w:tr>
      <w:tr>
        <w:tc>
          <w:tcPr>
            <w:tcW w:type="dxa" w:w="3286"/>
            <w:vAlign w:val="center"/>
          </w:tcPr>
          <w:p>
            <w:r/>
            <w:r>
              <w:rPr>
                <w:b/>
                <w:sz w:val="16"/>
              </w:rPr>
              <w:t>Fase 5 · Radiosidad</w:t>
            </w:r>
          </w:p>
        </w:tc>
        <w:tc>
          <w:tcPr>
            <w:tcW w:type="dxa" w:w="3286"/>
            <w:vAlign w:val="center"/>
          </w:tcPr>
          <w:p>
            <w:r/>
            <w:r>
              <w:rPr>
                <w:b w:val="0"/>
                <w:sz w:val="16"/>
              </w:rPr>
              <w:t>Parches, factores de forma, solver, caché, balance y mapas.</w:t>
            </w:r>
          </w:p>
        </w:tc>
        <w:tc>
          <w:tcPr>
            <w:tcW w:type="dxa" w:w="3286"/>
            <w:vAlign w:val="center"/>
          </w:tcPr>
          <w:p>
            <w:r/>
            <w:r>
              <w:rPr>
                <w:b w:val="0"/>
                <w:sz w:val="16"/>
              </w:rPr>
              <w:t>Código + pruebas + documentación + demo ejecutable</w:t>
            </w:r>
          </w:p>
        </w:tc>
      </w:tr>
      <w:tr>
        <w:tc>
          <w:tcPr>
            <w:tcW w:type="dxa" w:w="3286"/>
            <w:vAlign w:val="center"/>
          </w:tcPr>
          <w:p>
            <w:r/>
            <w:r>
              <w:rPr>
                <w:b/>
                <w:sz w:val="16"/>
              </w:rPr>
              <w:t>Fase 6 · Optimización</w:t>
            </w:r>
          </w:p>
        </w:tc>
        <w:tc>
          <w:tcPr>
            <w:tcW w:type="dxa" w:w="3286"/>
            <w:vAlign w:val="center"/>
          </w:tcPr>
          <w:p>
            <w:r/>
            <w:r>
              <w:rPr>
                <w:b w:val="0"/>
                <w:sz w:val="16"/>
              </w:rPr>
              <w:t>Variables mixtas, restricciones, objetivos, Pareto y análisis de sensibilidad.</w:t>
            </w:r>
          </w:p>
        </w:tc>
        <w:tc>
          <w:tcPr>
            <w:tcW w:type="dxa" w:w="3286"/>
            <w:vAlign w:val="center"/>
          </w:tcPr>
          <w:p>
            <w:r/>
            <w:r>
              <w:rPr>
                <w:b w:val="0"/>
                <w:sz w:val="16"/>
              </w:rPr>
              <w:t>Código + pruebas + documentación + demo ejecutable</w:t>
            </w:r>
          </w:p>
        </w:tc>
      </w:tr>
      <w:tr>
        <w:tc>
          <w:tcPr>
            <w:tcW w:type="dxa" w:w="3286"/>
            <w:vAlign w:val="center"/>
          </w:tcPr>
          <w:p>
            <w:r/>
            <w:r>
              <w:rPr>
                <w:b/>
                <w:sz w:val="16"/>
              </w:rPr>
              <w:t>Fase 7 · Servicio y persistencia</w:t>
            </w:r>
          </w:p>
        </w:tc>
        <w:tc>
          <w:tcPr>
            <w:tcW w:type="dxa" w:w="3286"/>
            <w:vAlign w:val="center"/>
          </w:tcPr>
          <w:p>
            <w:r/>
            <w:r>
              <w:rPr>
                <w:b w:val="0"/>
                <w:sz w:val="16"/>
              </w:rPr>
              <w:t>FastAPI, workers, PostgreSQL, almacenamiento, API y auditoría.</w:t>
            </w:r>
          </w:p>
        </w:tc>
        <w:tc>
          <w:tcPr>
            <w:tcW w:type="dxa" w:w="3286"/>
            <w:vAlign w:val="center"/>
          </w:tcPr>
          <w:p>
            <w:r/>
            <w:r>
              <w:rPr>
                <w:b w:val="0"/>
                <w:sz w:val="16"/>
              </w:rPr>
              <w:t>Código + pruebas + documentación + demo ejecutable</w:t>
            </w:r>
          </w:p>
        </w:tc>
      </w:tr>
      <w:tr>
        <w:tc>
          <w:tcPr>
            <w:tcW w:type="dxa" w:w="3286"/>
            <w:vAlign w:val="center"/>
          </w:tcPr>
          <w:p>
            <w:r/>
            <w:r>
              <w:rPr>
                <w:b/>
                <w:sz w:val="16"/>
              </w:rPr>
              <w:t>Fase 8 · Frontend</w:t>
            </w:r>
          </w:p>
        </w:tc>
        <w:tc>
          <w:tcPr>
            <w:tcW w:type="dxa" w:w="3286"/>
            <w:vAlign w:val="center"/>
          </w:tcPr>
          <w:p>
            <w:r/>
            <w:r>
              <w:rPr>
                <w:b w:val="0"/>
                <w:sz w:val="16"/>
              </w:rPr>
              <w:t>Integración React, editores, visor 3D, resultados y cumplimiento.</w:t>
            </w:r>
          </w:p>
        </w:tc>
        <w:tc>
          <w:tcPr>
            <w:tcW w:type="dxa" w:w="3286"/>
            <w:vAlign w:val="center"/>
          </w:tcPr>
          <w:p>
            <w:r/>
            <w:r>
              <w:rPr>
                <w:b w:val="0"/>
                <w:sz w:val="16"/>
              </w:rPr>
              <w:t>Código + pruebas + documentación + demo ejecutable</w:t>
            </w:r>
          </w:p>
        </w:tc>
      </w:tr>
      <w:tr>
        <w:tc>
          <w:tcPr>
            <w:tcW w:type="dxa" w:w="3286"/>
            <w:vAlign w:val="center"/>
          </w:tcPr>
          <w:p>
            <w:r/>
            <w:r>
              <w:rPr>
                <w:b/>
                <w:sz w:val="16"/>
              </w:rPr>
              <w:t>Fase 9 · Validación final</w:t>
            </w:r>
          </w:p>
        </w:tc>
        <w:tc>
          <w:tcPr>
            <w:tcW w:type="dxa" w:w="3286"/>
            <w:vAlign w:val="center"/>
          </w:tcPr>
          <w:p>
            <w:r/>
            <w:r>
              <w:rPr>
                <w:b w:val="0"/>
                <w:sz w:val="16"/>
              </w:rPr>
              <w:t>Benchmarks, proyectos reales, rendimiento, seguridad, documentación y aceptación.</w:t>
            </w:r>
          </w:p>
        </w:tc>
        <w:tc>
          <w:tcPr>
            <w:tcW w:type="dxa" w:w="3286"/>
            <w:vAlign w:val="center"/>
          </w:tcPr>
          <w:p>
            <w:r/>
            <w:r>
              <w:rPr>
                <w:b w:val="0"/>
                <w:sz w:val="16"/>
              </w:rPr>
              <w:t>Código + pruebas + documentación + demo ejecutable</w:t>
            </w:r>
          </w:p>
        </w:tc>
      </w:tr>
    </w:tbl>
    <w:p>
      <w:pPr>
        <w:pStyle w:val="Heading1"/>
      </w:pPr>
      <w:r>
        <w:t>30. Criterios globales de aceptación</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D9D9"/>
          </w:tcPr>
          <w:p>
            <w:r/>
            <w:r>
              <w:rPr>
                <w:b/>
                <w:sz w:val="17"/>
              </w:rPr>
              <w:t>ID</w:t>
            </w:r>
          </w:p>
        </w:tc>
        <w:tc>
          <w:tcPr>
            <w:tcW w:type="dxa" w:w="2464"/>
            <w:vAlign w:val="center"/>
            <w:shd w:fill="D9D9D9"/>
          </w:tcPr>
          <w:p>
            <w:r/>
            <w:r>
              <w:rPr>
                <w:b/>
                <w:sz w:val="17"/>
              </w:rPr>
              <w:t>Requisito</w:t>
            </w:r>
          </w:p>
        </w:tc>
        <w:tc>
          <w:tcPr>
            <w:tcW w:type="dxa" w:w="2464"/>
            <w:vAlign w:val="center"/>
            <w:shd w:fill="D9D9D9"/>
          </w:tcPr>
          <w:p>
            <w:r/>
            <w:r>
              <w:rPr>
                <w:b/>
                <w:sz w:val="17"/>
              </w:rPr>
              <w:t>Prioridad</w:t>
            </w:r>
          </w:p>
        </w:tc>
        <w:tc>
          <w:tcPr>
            <w:tcW w:type="dxa" w:w="2464"/>
            <w:vAlign w:val="center"/>
            <w:shd w:fill="D9D9D9"/>
          </w:tcPr>
          <w:p>
            <w:r/>
            <w:r>
              <w:rPr>
                <w:b/>
                <w:sz w:val="17"/>
              </w:rPr>
              <w:t>Criterio de aceptación</w:t>
            </w:r>
          </w:p>
        </w:tc>
      </w:tr>
      <w:tr>
        <w:tc>
          <w:tcPr>
            <w:tcW w:type="dxa" w:w="2464"/>
            <w:vAlign w:val="center"/>
          </w:tcPr>
          <w:p>
            <w:r/>
            <w:r>
              <w:rPr>
                <w:b/>
                <w:sz w:val="16"/>
              </w:rPr>
              <w:t>ACC-001</w:t>
            </w:r>
          </w:p>
        </w:tc>
        <w:tc>
          <w:tcPr>
            <w:tcW w:type="dxa" w:w="2464"/>
            <w:vAlign w:val="center"/>
          </w:tcPr>
          <w:p>
            <w:r/>
            <w:r>
              <w:rPr>
                <w:b w:val="0"/>
                <w:sz w:val="16"/>
              </w:rPr>
              <w:t>La aplicación calcula un túnel completo sin conexión a servicios externos.</w:t>
            </w:r>
          </w:p>
        </w:tc>
        <w:tc>
          <w:tcPr>
            <w:tcW w:type="dxa" w:w="2464"/>
            <w:vAlign w:val="center"/>
          </w:tcPr>
          <w:p>
            <w:r/>
            <w:r>
              <w:rPr>
                <w:b w:val="0"/>
                <w:sz w:val="16"/>
              </w:rPr>
              <w:t>Crítica</w:t>
            </w:r>
          </w:p>
        </w:tc>
        <w:tc>
          <w:tcPr>
            <w:tcW w:type="dxa" w:w="2464"/>
            <w:vAlign w:val="center"/>
          </w:tcPr>
          <w:p>
            <w:r/>
            <w:r>
              <w:rPr>
                <w:b w:val="0"/>
                <w:sz w:val="16"/>
              </w:rPr>
              <w:t>Prueba offline satisfactoria.</w:t>
            </w:r>
          </w:p>
        </w:tc>
      </w:tr>
      <w:tr>
        <w:tc>
          <w:tcPr>
            <w:tcW w:type="dxa" w:w="2464"/>
            <w:vAlign w:val="center"/>
          </w:tcPr>
          <w:p>
            <w:r/>
            <w:r>
              <w:rPr>
                <w:b/>
                <w:sz w:val="16"/>
              </w:rPr>
              <w:t>ACC-002</w:t>
            </w:r>
          </w:p>
        </w:tc>
        <w:tc>
          <w:tcPr>
            <w:tcW w:type="dxa" w:w="2464"/>
            <w:vAlign w:val="center"/>
          </w:tcPr>
          <w:p>
            <w:r/>
            <w:r>
              <w:rPr>
                <w:b w:val="0"/>
                <w:sz w:val="16"/>
              </w:rPr>
              <w:t>LDT e IES producen la misma representación interna para fotometrías equivalentes.</w:t>
            </w:r>
          </w:p>
        </w:tc>
        <w:tc>
          <w:tcPr>
            <w:tcW w:type="dxa" w:w="2464"/>
            <w:vAlign w:val="center"/>
          </w:tcPr>
          <w:p>
            <w:r/>
            <w:r>
              <w:rPr>
                <w:b w:val="0"/>
                <w:sz w:val="16"/>
              </w:rPr>
              <w:t>Crítica</w:t>
            </w:r>
          </w:p>
        </w:tc>
        <w:tc>
          <w:tcPr>
            <w:tcW w:type="dxa" w:w="2464"/>
            <w:vAlign w:val="center"/>
          </w:tcPr>
          <w:p>
            <w:r/>
            <w:r>
              <w:rPr>
                <w:b w:val="0"/>
                <w:sz w:val="16"/>
              </w:rPr>
              <w:t>Comparación de intensidades y resultados dentro de tolerancia.</w:t>
            </w:r>
          </w:p>
        </w:tc>
      </w:tr>
      <w:tr>
        <w:tc>
          <w:tcPr>
            <w:tcW w:type="dxa" w:w="2464"/>
            <w:vAlign w:val="center"/>
          </w:tcPr>
          <w:p>
            <w:r/>
            <w:r>
              <w:rPr>
                <w:b/>
                <w:sz w:val="16"/>
              </w:rPr>
              <w:t>ACC-003</w:t>
            </w:r>
          </w:p>
        </w:tc>
        <w:tc>
          <w:tcPr>
            <w:tcW w:type="dxa" w:w="2464"/>
            <w:vAlign w:val="center"/>
          </w:tcPr>
          <w:p>
            <w:r/>
            <w:r>
              <w:rPr>
                <w:b w:val="0"/>
                <w:sz w:val="16"/>
              </w:rPr>
              <w:t>Las 14 tablas CIE 144 están disponibles y verificadas.</w:t>
            </w:r>
          </w:p>
        </w:tc>
        <w:tc>
          <w:tcPr>
            <w:tcW w:type="dxa" w:w="2464"/>
            <w:vAlign w:val="center"/>
          </w:tcPr>
          <w:p>
            <w:r/>
            <w:r>
              <w:rPr>
                <w:b w:val="0"/>
                <w:sz w:val="16"/>
              </w:rPr>
              <w:t>Crítica</w:t>
            </w:r>
          </w:p>
        </w:tc>
        <w:tc>
          <w:tcPr>
            <w:tcW w:type="dxa" w:w="2464"/>
            <w:vAlign w:val="center"/>
          </w:tcPr>
          <w:p>
            <w:r/>
            <w:r>
              <w:rPr>
                <w:b w:val="0"/>
                <w:sz w:val="16"/>
              </w:rPr>
              <w:t>Prueba automática de contenido, dimensiones y puntos de control.</w:t>
            </w:r>
          </w:p>
        </w:tc>
      </w:tr>
      <w:tr>
        <w:tc>
          <w:tcPr>
            <w:tcW w:type="dxa" w:w="2464"/>
            <w:vAlign w:val="center"/>
          </w:tcPr>
          <w:p>
            <w:r/>
            <w:r>
              <w:rPr>
                <w:b/>
                <w:sz w:val="16"/>
              </w:rPr>
              <w:t>ACC-004</w:t>
            </w:r>
          </w:p>
        </w:tc>
        <w:tc>
          <w:tcPr>
            <w:tcW w:type="dxa" w:w="2464"/>
            <w:vAlign w:val="center"/>
          </w:tcPr>
          <w:p>
            <w:r/>
            <w:r>
              <w:rPr>
                <w:b w:val="0"/>
                <w:sz w:val="16"/>
              </w:rPr>
              <w:t>El cálculo directo supera benchmarks normativos acordados.</w:t>
            </w:r>
          </w:p>
        </w:tc>
        <w:tc>
          <w:tcPr>
            <w:tcW w:type="dxa" w:w="2464"/>
            <w:vAlign w:val="center"/>
          </w:tcPr>
          <w:p>
            <w:r/>
            <w:r>
              <w:rPr>
                <w:b w:val="0"/>
                <w:sz w:val="16"/>
              </w:rPr>
              <w:t>Crítica</w:t>
            </w:r>
          </w:p>
        </w:tc>
        <w:tc>
          <w:tcPr>
            <w:tcW w:type="dxa" w:w="2464"/>
            <w:vAlign w:val="center"/>
          </w:tcPr>
          <w:p>
            <w:r/>
            <w:r>
              <w:rPr>
                <w:b w:val="0"/>
                <w:sz w:val="16"/>
              </w:rPr>
              <w:t>Informe de validación firmado internamente.</w:t>
            </w:r>
          </w:p>
        </w:tc>
      </w:tr>
      <w:tr>
        <w:tc>
          <w:tcPr>
            <w:tcW w:type="dxa" w:w="2464"/>
            <w:vAlign w:val="center"/>
          </w:tcPr>
          <w:p>
            <w:r/>
            <w:r>
              <w:rPr>
                <w:b/>
                <w:sz w:val="16"/>
              </w:rPr>
              <w:t>ACC-005</w:t>
            </w:r>
          </w:p>
        </w:tc>
        <w:tc>
          <w:tcPr>
            <w:tcW w:type="dxa" w:w="2464"/>
            <w:vAlign w:val="center"/>
          </w:tcPr>
          <w:p>
            <w:r/>
            <w:r>
              <w:rPr>
                <w:b w:val="0"/>
                <w:sz w:val="16"/>
              </w:rPr>
              <w:t>La radiosidad converge, conserva energía y muestra estudio de refinamiento.</w:t>
            </w:r>
          </w:p>
        </w:tc>
        <w:tc>
          <w:tcPr>
            <w:tcW w:type="dxa" w:w="2464"/>
            <w:vAlign w:val="center"/>
          </w:tcPr>
          <w:p>
            <w:r/>
            <w:r>
              <w:rPr>
                <w:b w:val="0"/>
                <w:sz w:val="16"/>
              </w:rPr>
              <w:t>Crítica</w:t>
            </w:r>
          </w:p>
        </w:tc>
        <w:tc>
          <w:tcPr>
            <w:tcW w:type="dxa" w:w="2464"/>
            <w:vAlign w:val="center"/>
          </w:tcPr>
          <w:p>
            <w:r/>
            <w:r>
              <w:rPr>
                <w:b w:val="0"/>
                <w:sz w:val="16"/>
              </w:rPr>
              <w:t>Casos analíticos y recintos de prueba aprobados.</w:t>
            </w:r>
          </w:p>
        </w:tc>
      </w:tr>
      <w:tr>
        <w:tc>
          <w:tcPr>
            <w:tcW w:type="dxa" w:w="2464"/>
            <w:vAlign w:val="center"/>
          </w:tcPr>
          <w:p>
            <w:r/>
            <w:r>
              <w:rPr>
                <w:b/>
                <w:sz w:val="16"/>
              </w:rPr>
              <w:t>ACC-006</w:t>
            </w:r>
          </w:p>
        </w:tc>
        <w:tc>
          <w:tcPr>
            <w:tcW w:type="dxa" w:w="2464"/>
            <w:vAlign w:val="center"/>
          </w:tcPr>
          <w:p>
            <w:r/>
            <w:r>
              <w:rPr>
                <w:b w:val="0"/>
                <w:sz w:val="16"/>
              </w:rPr>
              <w:t>TI cumple la edición configurada de CIE 88.</w:t>
            </w:r>
          </w:p>
        </w:tc>
        <w:tc>
          <w:tcPr>
            <w:tcW w:type="dxa" w:w="2464"/>
            <w:vAlign w:val="center"/>
          </w:tcPr>
          <w:p>
            <w:r/>
            <w:r>
              <w:rPr>
                <w:b w:val="0"/>
                <w:sz w:val="16"/>
              </w:rPr>
              <w:t>Crítica</w:t>
            </w:r>
          </w:p>
        </w:tc>
        <w:tc>
          <w:tcPr>
            <w:tcW w:type="dxa" w:w="2464"/>
            <w:vAlign w:val="center"/>
          </w:tcPr>
          <w:p>
            <w:r/>
            <w:r>
              <w:rPr>
                <w:b w:val="0"/>
                <w:sz w:val="16"/>
              </w:rPr>
              <w:t>Casos de referencia y revisión técnica aprobados.</w:t>
            </w:r>
          </w:p>
        </w:tc>
      </w:tr>
      <w:tr>
        <w:tc>
          <w:tcPr>
            <w:tcW w:type="dxa" w:w="2464"/>
            <w:vAlign w:val="center"/>
          </w:tcPr>
          <w:p>
            <w:r/>
            <w:r>
              <w:rPr>
                <w:b/>
                <w:sz w:val="16"/>
              </w:rPr>
              <w:t>ACC-007</w:t>
            </w:r>
          </w:p>
        </w:tc>
        <w:tc>
          <w:tcPr>
            <w:tcW w:type="dxa" w:w="2464"/>
            <w:vAlign w:val="center"/>
          </w:tcPr>
          <w:p>
            <w:r/>
            <w:r>
              <w:rPr>
                <w:b w:val="0"/>
                <w:sz w:val="16"/>
              </w:rPr>
              <w:t>No existen dependencias prohibidas en el core.</w:t>
            </w:r>
          </w:p>
        </w:tc>
        <w:tc>
          <w:tcPr>
            <w:tcW w:type="dxa" w:w="2464"/>
            <w:vAlign w:val="center"/>
          </w:tcPr>
          <w:p>
            <w:r/>
            <w:r>
              <w:rPr>
                <w:b w:val="0"/>
                <w:sz w:val="16"/>
              </w:rPr>
              <w:t>Alta</w:t>
            </w:r>
          </w:p>
        </w:tc>
        <w:tc>
          <w:tcPr>
            <w:tcW w:type="dxa" w:w="2464"/>
            <w:vAlign w:val="center"/>
          </w:tcPr>
          <w:p>
            <w:r/>
            <w:r>
              <w:rPr>
                <w:b w:val="0"/>
                <w:sz w:val="16"/>
              </w:rPr>
              <w:t>Test de arquitectura aprobado.</w:t>
            </w:r>
          </w:p>
        </w:tc>
      </w:tr>
      <w:tr>
        <w:tc>
          <w:tcPr>
            <w:tcW w:type="dxa" w:w="2464"/>
            <w:vAlign w:val="center"/>
          </w:tcPr>
          <w:p>
            <w:r/>
            <w:r>
              <w:rPr>
                <w:b/>
                <w:sz w:val="16"/>
              </w:rPr>
              <w:t>ACC-008</w:t>
            </w:r>
          </w:p>
        </w:tc>
        <w:tc>
          <w:tcPr>
            <w:tcW w:type="dxa" w:w="2464"/>
            <w:vAlign w:val="center"/>
          </w:tcPr>
          <w:p>
            <w:r/>
            <w:r>
              <w:rPr>
                <w:b w:val="0"/>
                <w:sz w:val="16"/>
              </w:rPr>
              <w:t>Cobertura del core ≥ 90 % y de funciones críticas 100 %.</w:t>
            </w:r>
          </w:p>
        </w:tc>
        <w:tc>
          <w:tcPr>
            <w:tcW w:type="dxa" w:w="2464"/>
            <w:vAlign w:val="center"/>
          </w:tcPr>
          <w:p>
            <w:r/>
            <w:r>
              <w:rPr>
                <w:b w:val="0"/>
                <w:sz w:val="16"/>
              </w:rPr>
              <w:t>Alta</w:t>
            </w:r>
          </w:p>
        </w:tc>
        <w:tc>
          <w:tcPr>
            <w:tcW w:type="dxa" w:w="2464"/>
            <w:vAlign w:val="center"/>
          </w:tcPr>
          <w:p>
            <w:r/>
            <w:r>
              <w:rPr>
                <w:b w:val="0"/>
                <w:sz w:val="16"/>
              </w:rPr>
              <w:t>Informe de coverage.</w:t>
            </w:r>
          </w:p>
        </w:tc>
      </w:tr>
      <w:tr>
        <w:tc>
          <w:tcPr>
            <w:tcW w:type="dxa" w:w="2464"/>
            <w:vAlign w:val="center"/>
          </w:tcPr>
          <w:p>
            <w:r/>
            <w:r>
              <w:rPr>
                <w:b/>
                <w:sz w:val="16"/>
              </w:rPr>
              <w:t>ACC-009</w:t>
            </w:r>
          </w:p>
        </w:tc>
        <w:tc>
          <w:tcPr>
            <w:tcW w:type="dxa" w:w="2464"/>
            <w:vAlign w:val="center"/>
          </w:tcPr>
          <w:p>
            <w:r/>
            <w:r>
              <w:rPr>
                <w:b w:val="0"/>
                <w:sz w:val="16"/>
              </w:rPr>
              <w:t>Todas las ejecuciones son trazables y reproducibles.</w:t>
            </w:r>
          </w:p>
        </w:tc>
        <w:tc>
          <w:tcPr>
            <w:tcW w:type="dxa" w:w="2464"/>
            <w:vAlign w:val="center"/>
          </w:tcPr>
          <w:p>
            <w:r/>
            <w:r>
              <w:rPr>
                <w:b w:val="0"/>
                <w:sz w:val="16"/>
              </w:rPr>
              <w:t>Crítica</w:t>
            </w:r>
          </w:p>
        </w:tc>
        <w:tc>
          <w:tcPr>
            <w:tcW w:type="dxa" w:w="2464"/>
            <w:vAlign w:val="center"/>
          </w:tcPr>
          <w:p>
            <w:r/>
            <w:r>
              <w:rPr>
                <w:b w:val="0"/>
                <w:sz w:val="16"/>
              </w:rPr>
              <w:t>Reejecución desde snapshot coincide.</w:t>
            </w:r>
          </w:p>
        </w:tc>
      </w:tr>
      <w:tr>
        <w:tc>
          <w:tcPr>
            <w:tcW w:type="dxa" w:w="2464"/>
            <w:vAlign w:val="center"/>
          </w:tcPr>
          <w:p>
            <w:r/>
            <w:r>
              <w:rPr>
                <w:b/>
                <w:sz w:val="16"/>
              </w:rPr>
              <w:t>ACC-010</w:t>
            </w:r>
          </w:p>
        </w:tc>
        <w:tc>
          <w:tcPr>
            <w:tcW w:type="dxa" w:w="2464"/>
            <w:vAlign w:val="center"/>
          </w:tcPr>
          <w:p>
            <w:r/>
            <w:r>
              <w:rPr>
                <w:b w:val="0"/>
                <w:sz w:val="16"/>
              </w:rPr>
              <w:t>La UI distingue claramente resultados definitivos, preview, directos e indirectos.</w:t>
            </w:r>
          </w:p>
        </w:tc>
        <w:tc>
          <w:tcPr>
            <w:tcW w:type="dxa" w:w="2464"/>
            <w:vAlign w:val="center"/>
          </w:tcPr>
          <w:p>
            <w:r/>
            <w:r>
              <w:rPr>
                <w:b w:val="0"/>
                <w:sz w:val="16"/>
              </w:rPr>
              <w:t>Alta</w:t>
            </w:r>
          </w:p>
        </w:tc>
        <w:tc>
          <w:tcPr>
            <w:tcW w:type="dxa" w:w="2464"/>
            <w:vAlign w:val="center"/>
          </w:tcPr>
          <w:p>
            <w:r/>
            <w:r>
              <w:rPr>
                <w:b w:val="0"/>
                <w:sz w:val="16"/>
              </w:rPr>
              <w:t>Prueba de aceptación funcional.</w:t>
            </w:r>
          </w:p>
        </w:tc>
      </w:tr>
    </w:tbl>
    <w:p/>
    <w:p>
      <w:pPr>
        <w:pStyle w:val="Heading1"/>
      </w:pPr>
      <w:r>
        <w:t>31. Instrucción ejecutiva para Claude</w:t>
      </w:r>
    </w:p>
    <w:p>
      <w:r>
        <w:t>Claude deberá implementar este documento como una especificación obligatoria. Antes de escribir código, deberá producir una matriz de trazabilidad requisito → módulo → prueba. Después implementará por fases, manteniendo siempre el repositorio ejecutable. No podrá simplificar requisitos críticos sin registrar una decisión de arquitectura y solicitar aprobación.</w:t>
      </w:r>
    </w:p>
    <w:p>
      <w:pPr>
        <w:pStyle w:val="CodeBlock"/>
      </w:pPr>
      <w:r>
        <w:t>REGLAS DE IMPLEMENTACIÓN</w:t>
        <w:br/>
        <w:t>1. No inventes fórmulas normativas. Implementa las normas proporcionadas y documenta cada referencia.</w:t>
        <w:br/>
        <w:t>2. No mezcles lógica matemática con HTTP, base de datos o UI.</w:t>
        <w:br/>
        <w:t>3. Usa float64 y no redondees resultados intermedios.</w:t>
        <w:br/>
        <w:t>4. Cada requisito crítico debe tener al menos una prueba automatizada.</w:t>
        <w:br/>
        <w:t>5. Todo fallback debe ser explícito y aparecer en el resultado.</w:t>
        <w:br/>
        <w:t>6. No dejes TODO, pass, stubs ni mocks en rutas productivas.</w:t>
        <w:br/>
        <w:t>7. Genera documentación de fórmulas, signos, unidades, límites y casos de borde.</w:t>
        <w:br/>
        <w:t>8. Entrega una demo reproducible con Docker Compose.</w:t>
        <w:br/>
        <w:t>9. Ejecuta tests, coverage, benchmarks y linters antes de considerar la fase terminada.</w:t>
        <w:br/>
        <w:t>10. Si una norma es ambigua, aísla la decisión en un StandardsProfile versionado.</w:t>
        <w:br/>
      </w:r>
    </w:p>
    <w:p>
      <w:pPr>
        <w:pStyle w:val="Heading1"/>
      </w:pPr>
      <w:r>
        <w:t>32. Decisiones aún parametrizables, no bloqueantes</w:t>
      </w:r>
    </w:p>
    <w:p>
      <w:pPr>
        <w:pStyle w:val="ListBullet"/>
      </w:pPr>
      <w:r>
        <w:t>Edición exacta de CIE 88 que se activará por defecto en producción.</w:t>
      </w:r>
    </w:p>
    <w:p>
      <w:pPr>
        <w:pStyle w:val="ListBullet"/>
      </w:pPr>
      <w:r>
        <w:t>Algoritmo final del solver de radiosidad tras benchmark.</w:t>
      </w:r>
    </w:p>
    <w:p>
      <w:pPr>
        <w:pStyle w:val="ListBullet"/>
      </w:pPr>
      <w:r>
        <w:t>Dramatiq frente a Celery según infraestructura disponible.</w:t>
      </w:r>
    </w:p>
    <w:p>
      <w:pPr>
        <w:pStyle w:val="ListBullet"/>
      </w:pPr>
      <w:r>
        <w:t>Formato definitivo de arrays de resultados: Zarr, NPZ o Parquet.</w:t>
      </w:r>
    </w:p>
    <w:p>
      <w:pPr>
        <w:pStyle w:val="ListBullet"/>
      </w:pPr>
      <w:r>
        <w:t>Almacenamiento de objetos: S3 compatible o filesystem corporativo.</w:t>
      </w:r>
    </w:p>
    <w:p>
      <w:pPr>
        <w:pStyle w:val="ListBullet"/>
      </w:pPr>
      <w:r>
        <w:t>Conjunto de proyectos reales de Salvi para regresión.</w:t>
      </w:r>
    </w:p>
    <w:p>
      <w:pPr>
        <w:pStyle w:val="ListBullet"/>
      </w:pPr>
      <w:r>
        <w:t>Umbrales finales de tiempo por hardware de referencia.</w:t>
      </w:r>
    </w:p>
    <w:p>
      <w:r>
        <w:t>Estas decisiones deberán implementarse mediante configuración o adaptadores. Ninguna invalida la arquitectura definida.</w:t>
      </w:r>
    </w:p>
    <w:p>
      <w:pPr>
        <w:pStyle w:val="Heading1"/>
      </w:pPr>
      <w:r>
        <w:t>Anexo A. Contrato mínimo de una solicitud de cálculo</w:t>
      </w:r>
    </w:p>
    <w:p>
      <w:pPr>
        <w:pStyle w:val="CodeBlock"/>
      </w:pPr>
      <w:r>
        <w:t>CalculationRequest</w:t>
        <w:br/>
        <w:t xml:space="preserve">  project_revision_id: UUID</w:t>
        <w:br/>
        <w:t xml:space="preserve">  standards_profile_id: UUID</w:t>
        <w:br/>
        <w:t xml:space="preserve">  calculation_mode: DIRECT | DIRECT_PLUS_RADIOSITY | COMPARATIVE | VALIDATION | PREVIEW</w:t>
        <w:br/>
        <w:t xml:space="preserve">  scenario_ids: list[UUID]</w:t>
        <w:br/>
        <w:t xml:space="preserve">  grid_ids: list[UUID]</w:t>
        <w:br/>
        <w:t xml:space="preserve">  observer_ids: list[UUID]</w:t>
        <w:br/>
        <w:t xml:space="preserve">  metrics: list[MetricCode]</w:t>
        <w:br/>
        <w:t xml:space="preserve">  numerical_options:</w:t>
        <w:br/>
        <w:t xml:space="preserve">    float_precision: FLOAT64</w:t>
        <w:br/>
        <w:t xml:space="preserve">    direct_block_size</w:t>
        <w:br/>
        <w:t xml:space="preserve">    radiosity_tolerance</w:t>
        <w:br/>
        <w:t xml:space="preserve">    radiosity_max_iterations</w:t>
        <w:br/>
        <w:t xml:space="preserve">    occlusion_enabled</w:t>
        <w:br/>
        <w:t xml:space="preserve">    contribution_breakdown</w:t>
        <w:br/>
        <w:t xml:space="preserve">  output_options:</w:t>
        <w:br/>
        <w:t xml:space="preserve">    store_point_results</w:t>
        <w:br/>
        <w:t xml:space="preserve">    store_contributions</w:t>
        <w:br/>
        <w:t xml:space="preserve">    generate_maps</w:t>
        <w:br/>
        <w:t xml:space="preserve">    generate_report_data</w:t>
        <w:br/>
      </w:r>
    </w:p>
    <w:p>
      <w:pPr>
        <w:pStyle w:val="Heading1"/>
      </w:pPr>
      <w:r>
        <w:t>Anexo B. Contrato mínimo de resultados</w:t>
      </w:r>
    </w:p>
    <w:p>
      <w:pPr>
        <w:pStyle w:val="CodeBlock"/>
      </w:pPr>
      <w:r>
        <w:t>CalculationResultManifest</w:t>
        <w:br/>
        <w:t xml:space="preserve">  run_id, project_revision_id, engine_version</w:t>
        <w:br/>
        <w:t xml:space="preserve">  input_snapshot_hash</w:t>
        <w:br/>
        <w:t xml:space="preserve">  standards_profile_version</w:t>
        <w:br/>
        <w:t xml:space="preserve">  status, started_at, completed_at</w:t>
        <w:br/>
        <w:t xml:space="preserve">  scenarios[]</w:t>
        <w:br/>
        <w:t xml:space="preserve">  grids[]</w:t>
        <w:br/>
        <w:t xml:space="preserve">  observers[]</w:t>
        <w:br/>
        <w:t xml:space="preserve">  metrics[]:</w:t>
        <w:br/>
        <w:t xml:space="preserve">    code, value_raw, value_display, unit</w:t>
        <w:br/>
        <w:t xml:space="preserve">    limit, comparator, compliant, margin</w:t>
        <w:br/>
        <w:t xml:space="preserve">    worst_location, worst_observer, worst_scenario</w:t>
        <w:br/>
        <w:t xml:space="preserve">  datasets[]:</w:t>
        <w:br/>
        <w:t xml:space="preserve">    kind, uri, hash, shape, dtype, compression</w:t>
        <w:br/>
        <w:t xml:space="preserve">  diagnostics[]</w:t>
        <w:br/>
        <w:t xml:space="preserve">  warnings[]</w:t>
        <w:br/>
        <w:t xml:space="preserve">  performance</w:t>
        <w:br/>
      </w:r>
    </w:p>
    <w:p>
      <w:pPr>
        <w:pStyle w:val="Heading1"/>
      </w:pPr>
      <w:r>
        <w:t>Anexo C. Checklist de revisión técnica</w:t>
      </w:r>
    </w:p>
    <w:p>
      <w:pPr>
        <w:pStyle w:val="ListBullet"/>
      </w:pPr>
      <w:r>
        <w:t>¿La convención X-Y-Z coincide en geometría, fotometría, UI e informes?</w:t>
      </w:r>
    </w:p>
    <w:p>
      <w:pPr>
        <w:pStyle w:val="ListBullet"/>
      </w:pPr>
      <w:r>
        <w:t>¿El tilt de ensayo y el de instalación se mantienen separados?</w:t>
      </w:r>
    </w:p>
    <w:p>
      <w:pPr>
        <w:pStyle w:val="ListBullet"/>
      </w:pPr>
      <w:r>
        <w:t>¿Las intensidades están en cd absolutas antes del cálculo?</w:t>
      </w:r>
    </w:p>
    <w:p>
      <w:pPr>
        <w:pStyle w:val="ListBullet"/>
      </w:pPr>
      <w:r>
        <w:t>¿Se ha aplicado la regulación sobre flujo y la potencia por su curva real?</w:t>
      </w:r>
    </w:p>
    <w:p>
      <w:pPr>
        <w:pStyle w:val="ListBullet"/>
      </w:pPr>
      <w:r>
        <w:t>¿La r-table seleccionada y su versión están registradas?</w:t>
      </w:r>
    </w:p>
    <w:p>
      <w:pPr>
        <w:pStyle w:val="ListBullet"/>
      </w:pPr>
      <w:r>
        <w:t>¿Se ha evitado extrapolar celdas vacías?</w:t>
      </w:r>
    </w:p>
    <w:p>
      <w:pPr>
        <w:pStyle w:val="ListBullet"/>
      </w:pPr>
      <w:r>
        <w:t>¿La luminancia corresponde al observador correcto?</w:t>
      </w:r>
    </w:p>
    <w:p>
      <w:pPr>
        <w:pStyle w:val="ListBullet"/>
      </w:pPr>
      <w:r>
        <w:t>¿El TI utiliza las reglas CIE 88 configuradas?</w:t>
      </w:r>
    </w:p>
    <w:p>
      <w:pPr>
        <w:pStyle w:val="ListBullet"/>
      </w:pPr>
      <w:r>
        <w:t>¿Los resultados con radiosidad separan directa e indirecta?</w:t>
      </w:r>
    </w:p>
    <w:p>
      <w:pPr>
        <w:pStyle w:val="ListBullet"/>
      </w:pPr>
      <w:r>
        <w:t>¿Se ha verificado conservación energética?</w:t>
      </w:r>
    </w:p>
    <w:p>
      <w:pPr>
        <w:pStyle w:val="ListBullet"/>
      </w:pPr>
      <w:r>
        <w:t>¿El cumplimiento usa valores sin redondear?</w:t>
      </w:r>
    </w:p>
    <w:p>
      <w:pPr>
        <w:pStyle w:val="ListBullet"/>
      </w:pPr>
      <w:r>
        <w:t>¿La ejecución puede reproducirse desde su snapshot?</w:t>
      </w:r>
    </w:p>
    <w:p>
      <w:pPr>
        <w:pStyle w:val="ListBullet"/>
      </w:pPr>
      <w:r>
        <w:t>¿Todas las advertencias aparecen en el informe?</w:t>
      </w:r>
    </w:p>
    <w:p>
      <w:pPr>
        <w:spacing w:before="400"/>
        <w:jc w:val="center"/>
      </w:pPr>
      <w:r>
        <w:rPr>
          <w:b/>
          <w:sz w:val="20"/>
        </w:rPr>
        <w:t>FIN DE LA ESPECIFICACIÓN MAESTRA · VERSIÓN 1.0</w:t>
      </w:r>
    </w:p>
    <w:sectPr w:rsidR="00FC693F" w:rsidRPr="0006063C" w:rsidSect="00034616">
      <w:headerReference w:type="default" r:id="rId9"/>
      <w:footerReference w:type="default" r:id="rId10"/>
      <w:pgSz w:w="12240" w:h="15840"/>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05050"/>
        <w:sz w:val="16"/>
      </w:rPr>
      <w:t>SALVI STUDIO · TUNNEL ENGINE · ESPECIFICACIÓN MAESTRA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00"/>
      <w:ind w:left="283" w:right="28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Maestra del Motor Fotométrico de Túneles</dc:title>
  <dc:subject>Salvi Studio Tunnel Engine</dc:subject>
  <dc:creator>Salvi Lighting</dc:creator>
  <cp:keywords>CIE 88, CIE 140, CIE 144, túneles, fotometría, radiosidad, LDT, IES</cp:keywords>
  <dc:description>generated by python-docx</dc:description>
  <cp:lastModifiedBy/>
  <cp:revision>1</cp:revision>
  <dcterms:created xsi:type="dcterms:W3CDTF">2013-12-23T23:15:00Z</dcterms:created>
  <dcterms:modified xsi:type="dcterms:W3CDTF">2013-12-23T23:15:00Z</dcterms:modified>
  <cp:category/>
</cp:coreProperties>
</file>