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50"/>
      </w:pPr>
      <w:r>
        <w:rPr>
          <w:rFonts w:ascii="Aptos" w:cs="Aptos" w:eastAsia="Aptos" w:hAnsi="Aptos"/>
          <w:b/>
          <w:bCs/>
          <w:color w:val="007C83"/>
          <w:sz w:val="24"/>
          <w:szCs w:val="24"/>
        </w:rPr>
        <w:t xml:space="preserve">ESTUDIO DE OPORTUNIDAD</w:t>
      </w:r>
    </w:p>
    <w:p>
      <w:pPr>
        <w:spacing w:after="230"/>
      </w:pPr>
      <w:r>
        <w:rPr>
          <w:rFonts w:ascii="Aptos" w:cs="Aptos" w:eastAsia="Aptos" w:hAnsi="Aptos"/>
          <w:b/>
          <w:bCs/>
          <w:color w:val="0B3A5B"/>
          <w:sz w:val="46"/>
          <w:szCs w:val="46"/>
        </w:rPr>
        <w:t xml:space="preserve">Alumbrado de seguridad y emergencia
en túneles ferroviarios y metropolitanos</w:t>
      </w:r>
    </w:p>
    <w:p>
      <w:pPr>
        <w:spacing w:after="450" w:before="0" w:line="276"/>
      </w:pPr>
      <w:r>
        <w:rPr>
          <w:rFonts w:ascii="Aptos" w:cs="Aptos" w:eastAsia="Aptos" w:hAnsi="Aptos"/>
          <w:color w:val="5B6870"/>
          <w:sz w:val="25"/>
          <w:szCs w:val="25"/>
        </w:rPr>
        <w:t xml:space="preserve">España · Situación actual, actores, tecnología y ruta comercial</w:t>
      </w:r>
    </w:p>
    <w:tbl>
      <w:tblPr>
        <w:tblW w:type="dxa" w:w="9806"/>
        <w:tblBorders>
          <w:top w:val="single" w:color="007C83" w:sz="8"/>
          <w:left w:val="single" w:color="007C83" w:sz="8"/>
          <w:bottom w:val="single" w:color="007C83" w:sz="8"/>
          <w:right w:val="single" w:color="007C83" w:sz="8"/>
          <w:insideH w:val="single" w:color="auto" w:sz="4"/>
          <w:insideV w:val="single" w:color="auto" w:sz="4"/>
        </w:tblBorders>
      </w:tblPr>
      <w:tblGrid>
        <w:gridCol w:w="9806"/>
      </w:tblGrid>
      <w:tr>
        <w:tc>
          <w:tcPr>
            <w:tcW w:type="dxa" w:w="9806"/>
            <w:shd w:color="0B3A5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75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Conclusión ejecutiva</w:t>
            </w:r>
          </w:p>
          <w:p>
            <w:pPr>
              <w:spacing w:after="0" w:before="0" w:line="270"/>
            </w:pPr>
            <w:r>
              <w:rPr>
                <w:rFonts w:ascii="Aptos" w:cs="Aptos" w:eastAsia="Aptos" w:hAnsi="Aptos"/>
                <w:color w:val="FFFFFF"/>
                <w:sz w:val="19"/>
                <w:szCs w:val="19"/>
              </w:rPr>
              <w:t xml:space="preserve">El mercado existe y es técnicamente exigente. La oportunidad no es “iluminar el túnel para circular”, sino renovar sistemas críticos de evacuación, socorro, mantenimiento y telemando. ADIF/ADIF AV y los grandes metros compran soluciones integradas: luminaria LED certificada, alimentación segura, cableado resistente al fuego, control remoto, pruebas y mantenimiento.</w:t>
            </w:r>
          </w:p>
        </w:tc>
      </w:tr>
    </w:tbl>
    <w:p>
      <w:pPr>
        <w:spacing w:after="50" w:before="0" w:line="276"/>
      </w:pPr>
      <w:r>
        <w:rPr>
          <w:rFonts w:ascii="Aptos" w:cs="Aptos" w:eastAsia="Aptos" w:hAnsi="Aptos"/>
          <w:color w:val="5B6870"/>
          <w:sz w:val="16"/>
          <w:szCs w:val="16"/>
        </w:rPr>
        <w:t xml:space="preserve">Fecha de corte: 31 de julio de 2026 · Alcance: España; túneles ferroviarios, Cercanías, alta velocidad, metro y ferrocarril metropolitano. No incluye túneles de carretera salvo como mercado adyacente.</w:t>
      </w:r>
    </w:p>
    <w:p>
      <w:pPr>
        <w:spacing w:after="0" w:before="0" w:line="276"/>
      </w:pPr>
      <w:r>
        <w:rPr>
          <w:rFonts w:ascii="Aptos" w:cs="Aptos" w:eastAsia="Aptos" w:hAnsi="Aptos"/>
          <w:color w:val="5B6870"/>
          <w:sz w:val="15"/>
          <w:szCs w:val="15"/>
        </w:rPr>
        <w:t xml:space="preserve">Preparado para SALVI · Documento de inteligencia comercial. Las cifras están etiquetadas como publicadas, no publicadas o de referencia; no se presentan estimaciones cartográficas como inventario oficial.</w:t>
      </w:r>
    </w:p>
    <w:p>
      <w:pPr>
        <w:pStyle w:val="Heading1"/>
        <w:keepNext/>
        <w:pageBreakBefore/>
        <w:spacing w:after="120" w:before="270"/>
      </w:pPr>
      <w:r>
        <w:t xml:space="preserve">1. Resumen para decisión</w:t>
      </w:r>
      <w:r>
        <w:rPr>
          <w:rFonts w:ascii="Aptos" w:cs="Aptos" w:eastAsia="Aptos" w:hAnsi="Aptos"/>
          <w:b/>
          <w:bCs/>
          <w:color w:val="0B3A5B"/>
          <w:sz w:val="32"/>
          <w:szCs w:val="32"/>
        </w:rPr>
        <w:t xml:space="preserve">1. Resumen para decisión</w:t>
      </w:r>
    </w:p>
    <w:tbl>
      <w:tblPr>
        <w:tblW w:type="dxa" w:w="9806"/>
        <w:tblBorders>
          <w:top w:val="single" w:color="007C83" w:sz="6"/>
          <w:left w:val="single" w:color="007C83" w:sz="2"/>
          <w:bottom w:val="single" w:color="007C83" w:sz="2"/>
          <w:right w:val="single" w:color="007C83" w:sz="2"/>
          <w:insideH w:val="single" w:color="auto" w:sz="4"/>
          <w:insideV w:val="single" w:color="auto" w:sz="4"/>
        </w:tblBorders>
      </w:tblPr>
      <w:tblGrid>
        <w:gridCol w:w="9806"/>
      </w:tblGrid>
      <w:tr>
        <w:tc>
          <w:tcPr>
            <w:tcW w:type="dxa" w:w="9806"/>
            <w:shd w:color="D8EEF0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55" w:before="0" w:line="276"/>
            </w:pPr>
            <w:r>
              <w:rPr>
                <w:rFonts w:ascii="Aptos" w:cs="Aptos" w:eastAsia="Aptos" w:hAnsi="Aptos"/>
                <w:b/>
                <w:bCs/>
                <w:color w:val="0B3A5B"/>
                <w:sz w:val="18"/>
                <w:szCs w:val="18"/>
              </w:rPr>
              <w:t xml:space="preserve">Recomendación</w:t>
            </w:r>
          </w:p>
          <w:p>
            <w:pPr>
              <w:spacing w:after="0" w:before="0" w:line="235"/>
            </w:pPr>
            <w:r>
              <w:rPr>
                <w:rFonts w:ascii="Aptos" w:cs="Aptos" w:eastAsia="Aptos" w:hAnsi="Aptos"/>
                <w:color w:val="20323D"/>
                <w:sz w:val="17"/>
                <w:szCs w:val="17"/>
              </w:rPr>
              <w:t xml:space="preserve">Posicionar una oferta “Rail Tunnel Safety Lighting”: ingeniería de cumplimiento + suministro LED + integración de control + mantenimiento. Entrar primero por auditorías de obsolescencia y pilotos en activos de alto riesgo, no como proveedor genérico de luminarias.</w:t>
            </w:r>
          </w:p>
        </w:tc>
      </w:tr>
    </w:tbl>
    <w:p>
      <w:pPr>
        <w:pStyle w:val="Heading2"/>
        <w:keepNext/>
        <w:spacing w:after="120" w:before="270"/>
      </w:pPr>
      <w:r>
        <w:t xml:space="preserve">Qué demuestra el mercado</w:t>
      </w:r>
      <w:r>
        <w:rPr>
          <w:rFonts w:ascii="Aptos" w:cs="Aptos" w:eastAsia="Aptos" w:hAnsi="Aptos"/>
          <w:b/>
          <w:bCs/>
          <w:color w:val="007C83"/>
          <w:sz w:val="27"/>
          <w:szCs w:val="27"/>
        </w:rPr>
        <w:t xml:space="preserve">Qué demuestra el mercado</w:t>
      </w:r>
    </w:p>
    <w:tbl>
      <w:tblPr>
        <w:tblW w:type="dxa" w:w="9806"/>
        <w:tblBorders>
          <w:top w:val="single" w:color="C9DDE2" w:sz="4"/>
          <w:left w:val="single" w:color="C9DDE2" w:sz="4"/>
          <w:bottom w:val="single" w:color="C9DDE2" w:sz="4"/>
          <w:right w:val="single" w:color="C9DDE2" w:sz="4"/>
          <w:insideH w:val="single" w:color="C9DDE2" w:sz="2"/>
          <w:insideV w:val="single" w:color="C9DDE2" w:sz="2"/>
        </w:tblBorders>
      </w:tblPr>
      <w:tblGrid>
        <w:gridCol w:w="2400"/>
        <w:gridCol w:w="7506"/>
      </w:tblGrid>
      <w:tr>
        <w:trPr>
          <w:tblHeader/>
        </w:trPr>
        <w:tc>
          <w:tcPr>
            <w:tcW w:type="dxa" w:w="2400"/>
            <w:shd w:color="0B3A5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Señal</w:t>
            </w:r>
          </w:p>
        </w:tc>
        <w:tc>
          <w:tcPr>
            <w:tcW w:type="dxa" w:w="7506"/>
            <w:shd w:color="0B3A5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Evidencia y lectura comercial</w:t>
            </w:r>
          </w:p>
        </w:tc>
      </w:tr>
      <w:tr>
        <w:tc>
          <w:tcPr>
            <w:tcW w:type="dxa" w:w="24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Norma prescriptiva</w:t>
            </w:r>
          </w:p>
        </w:tc>
        <w:tc>
          <w:tcPr>
            <w:tcW w:type="dxa" w:w="7506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Para RFIG, la IFI exige LED con IP66, IK08, vida &gt;50.000 h, ≤5 W/m, 5.000 K e IRC &gt;75; la solución debe estar certificada. [1]</w:t>
            </w:r>
          </w:p>
        </w:tc>
      </w:tr>
      <w:tr>
        <w:tc>
          <w:tcPr>
            <w:tcW w:type="dxa" w:w="24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Necesidad de reposición</w:t>
            </w:r>
          </w:p>
        </w:tc>
        <w:tc>
          <w:tcPr>
            <w:tcW w:type="dxa" w:w="7506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ADIF AV licitó en 2026 más de 6,5 M€ para sustituir 10.495 puntos de luz en Guadarrama y San Pedro (37,4 km de túnel), con tecnologías convencionales al final de vida. [6]</w:t>
            </w:r>
          </w:p>
        </w:tc>
      </w:tr>
      <w:tr>
        <w:tc>
          <w:tcPr>
            <w:tcW w:type="dxa" w:w="24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Conectividad ya comprada</w:t>
            </w:r>
          </w:p>
        </w:tc>
        <w:tc>
          <w:tcPr>
            <w:tcW w:type="dxa" w:w="7506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Metro de Madrid integró telemando de 5.400 luminarias y 930 cuadros en la renovación de la L5; no es un extra futurista sino una práctica de infraestructura crítica. [7]</w:t>
            </w:r>
          </w:p>
        </w:tc>
      </w:tr>
      <w:tr>
        <w:tc>
          <w:tcPr>
            <w:tcW w:type="dxa" w:w="24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Compra recurrente</w:t>
            </w:r>
          </w:p>
        </w:tc>
        <w:tc>
          <w:tcPr>
            <w:tcW w:type="dxa" w:w="7506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ADIF licitó 9,64 M€ estimados / 12 meses para gestión integral de instalaciones de protección y seguridad de túneles convencionales y de ancho métrico, en seis lotes territoriales. [5]</w:t>
            </w:r>
          </w:p>
        </w:tc>
      </w:tr>
    </w:tbl>
    <w:p>
      <w:pPr>
        <w:spacing w:after="100" w:before="0" w:line="276"/>
      </w:pPr>
      <w:r>
        <w:rPr>
          <w:rFonts w:ascii="Aptos" w:cs="Aptos" w:eastAsia="Aptos" w:hAnsi="Aptos"/>
          <w:color w:val="20323D"/>
          <w:sz w:val="18"/>
          <w:szCs w:val="18"/>
        </w:rPr>
        <w:t xml:space="preserve">Implicación: la propuesta comercial debe vender disponibilidad verificable y reducción de coste de ciclo de vida; el ahorro energético ayuda, pero rara vez es por sí solo el motivo de compra en alumbrado de emergencia.</w:t>
      </w:r>
    </w:p>
    <w:p>
      <w:pPr>
        <w:pStyle w:val="Heading2"/>
        <w:keepNext/>
        <w:spacing w:after="120" w:before="270"/>
      </w:pPr>
      <w:r>
        <w:t xml:space="preserve">Dónde concentrar el esfuerzo</w:t>
      </w:r>
      <w:r>
        <w:rPr>
          <w:rFonts w:ascii="Aptos" w:cs="Aptos" w:eastAsia="Aptos" w:hAnsi="Aptos"/>
          <w:b/>
          <w:bCs/>
          <w:color w:val="007C83"/>
          <w:sz w:val="27"/>
          <w:szCs w:val="27"/>
        </w:rPr>
        <w:t xml:space="preserve">Dónde concentrar el esfuerzo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t xml:space="preserve">Prioridad 1: Madrid, Cataluña, Comunitat Valenciana, País Vasco y Andalucía. Concentran redes metropolitanas, tráfico, inversión, activos envejecidos o proyectos de ampliación.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t xml:space="preserve">Prioridad 1 ferroviaria: corredores Norte, Noroeste y Noreste; el pliego de ADIF identifica estos corredores como los de mayor concentración de kilómetros de túnel. [4]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t xml:space="preserve">Puerta de entrada: departamentos de infraestructura, energía/instalaciones, protección civil, mantenimiento y centro de control; no solo compras o explotación.</w:t>
      </w:r>
    </w:p>
    <w:p>
      <w:pPr>
        <w:pStyle w:val="Heading1"/>
        <w:keepNext/>
        <w:spacing w:after="120" w:before="270"/>
      </w:pPr>
      <w:r>
        <w:t xml:space="preserve">2. Alcance y realidad del parque instalado</w:t>
      </w:r>
      <w:r>
        <w:rPr>
          <w:rFonts w:ascii="Aptos" w:cs="Aptos" w:eastAsia="Aptos" w:hAnsi="Aptos"/>
          <w:b/>
          <w:bCs/>
          <w:color w:val="0B3A5B"/>
          <w:sz w:val="32"/>
          <w:szCs w:val="32"/>
        </w:rPr>
        <w:t xml:space="preserve">2. Alcance y realidad del parque instalado</w:t>
      </w:r>
    </w:p>
    <w:p>
      <w:pPr>
        <w:spacing w:after="130" w:before="0" w:line="276"/>
      </w:pPr>
      <w:r>
        <w:rPr>
          <w:rFonts w:ascii="Aptos" w:cs="Aptos" w:eastAsia="Aptos" w:hAnsi="Aptos"/>
          <w:color w:val="20323D"/>
          <w:sz w:val="18"/>
          <w:szCs w:val="18"/>
        </w:rPr>
        <w:t xml:space="preserve">No existe un inventario nacional público, consolidado y actualizado que publique los kilómetros de túneles ferroviarios y de metro por comunidad autónoma. ADIF dispone de una Norma General de Inventario de Túneles Ferroviarios (NAG 2414) y de un conjunto geográfico INSPIRE de la red, pero el extracto de activos con longitud, tecnología y estado de alumbrado no está publicado de forma agregable. [3][10]</w:t>
      </w:r>
    </w:p>
    <w:tbl>
      <w:tblPr>
        <w:tblW w:type="dxa" w:w="9806"/>
        <w:tblBorders>
          <w:top w:val="single" w:color="007C83" w:sz="6"/>
          <w:left w:val="single" w:color="007C83" w:sz="2"/>
          <w:bottom w:val="single" w:color="007C83" w:sz="2"/>
          <w:right w:val="single" w:color="007C83" w:sz="2"/>
          <w:insideH w:val="single" w:color="auto" w:sz="4"/>
          <w:insideV w:val="single" w:color="auto" w:sz="4"/>
        </w:tblBorders>
      </w:tblPr>
      <w:tblGrid>
        <w:gridCol w:w="9806"/>
      </w:tblGrid>
      <w:tr>
        <w:tc>
          <w:tcPr>
            <w:tcW w:type="dxa" w:w="9806"/>
            <w:shd w:color="FFF4D6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55" w:before="0" w:line="276"/>
            </w:pPr>
            <w:r>
              <w:rPr>
                <w:rFonts w:ascii="Aptos" w:cs="Aptos" w:eastAsia="Aptos" w:hAnsi="Aptos"/>
                <w:b/>
                <w:bCs/>
                <w:color w:val="0B3A5B"/>
                <w:sz w:val="18"/>
                <w:szCs w:val="18"/>
              </w:rPr>
              <w:t xml:space="preserve">Cómo leer la tabla territorial</w:t>
            </w:r>
          </w:p>
          <w:p>
            <w:pPr>
              <w:spacing w:after="0" w:before="0" w:line="235"/>
            </w:pPr>
            <w:r>
              <w:rPr>
                <w:rFonts w:ascii="Aptos" w:cs="Aptos" w:eastAsia="Aptos" w:hAnsi="Aptos"/>
                <w:color w:val="20323D"/>
                <w:sz w:val="17"/>
                <w:szCs w:val="17"/>
              </w:rPr>
              <w:t xml:space="preserve">“km de túnel publicado” solo se rellena cuando una fuente oficial o de operador ofrece el dato. Los “km de red” no se deben confundir con km en túnel: se presentan para dimensionar al comprador y priorizar la prospección. Para un TAM defendible, solicitar a cada gestor inventario de túneles, antigüedad de instalación, planos unifilares y registros de pruebas.</w:t>
            </w:r>
          </w:p>
        </w:tc>
      </w:tr>
    </w:tbl>
    <w:p>
      <w:pPr>
        <w:pStyle w:val="Heading2"/>
        <w:keepNext/>
        <w:spacing w:after="120" w:before="270"/>
      </w:pPr>
      <w:r>
        <w:t xml:space="preserve">Panorama por comunidad autónoma</w:t>
      </w:r>
      <w:r>
        <w:rPr>
          <w:rFonts w:ascii="Aptos" w:cs="Aptos" w:eastAsia="Aptos" w:hAnsi="Aptos"/>
          <w:b/>
          <w:bCs/>
          <w:color w:val="007C83"/>
          <w:sz w:val="27"/>
          <w:szCs w:val="27"/>
        </w:rPr>
        <w:t xml:space="preserve">Panorama por comunidad autónoma</w:t>
      </w:r>
    </w:p>
    <w:tbl>
      <w:tblPr>
        <w:tblW w:type="dxa" w:w="9806"/>
        <w:tblBorders>
          <w:top w:val="single" w:color="C9DDE2" w:sz="4"/>
          <w:left w:val="single" w:color="C9DDE2" w:sz="4"/>
          <w:bottom w:val="single" w:color="C9DDE2" w:sz="4"/>
          <w:right w:val="single" w:color="C9DDE2" w:sz="4"/>
          <w:insideH w:val="single" w:color="C9DDE2" w:sz="2"/>
          <w:insideV w:val="single" w:color="C9DDE2" w:sz="2"/>
        </w:tblBorders>
      </w:tblPr>
      <w:tblGrid>
        <w:gridCol w:w="1400"/>
        <w:gridCol w:w="3350"/>
        <w:gridCol w:w="3500"/>
        <w:gridCol w:w="800"/>
      </w:tblGrid>
      <w:tr>
        <w:trPr>
          <w:tblHeader/>
        </w:trPr>
        <w:tc>
          <w:tcPr>
            <w:tcW w:type="dxa" w:w="1400"/>
            <w:shd w:color="0B3A5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CCAA</w:t>
            </w:r>
          </w:p>
        </w:tc>
        <w:tc>
          <w:tcPr>
            <w:tcW w:type="dxa" w:w="3350"/>
            <w:shd w:color="0B3A5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Dato publicado relevante</w:t>
            </w:r>
          </w:p>
        </w:tc>
        <w:tc>
          <w:tcPr>
            <w:tcW w:type="dxa" w:w="3500"/>
            <w:shd w:color="0B3A5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Titular / interlocutor principal</w:t>
            </w:r>
          </w:p>
        </w:tc>
        <w:tc>
          <w:tcPr>
            <w:tcW w:type="dxa" w:w="800"/>
            <w:shd w:color="0B3A5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Prioridad</w:t>
            </w:r>
          </w:p>
        </w:tc>
      </w:tr>
      <w:tr>
        <w:tc>
          <w:tcPr>
            <w:tcW w:type="dxa" w:w="14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Madrid</w:t>
            </w:r>
          </w:p>
        </w:tc>
        <w:tc>
          <w:tcPr>
            <w:tcW w:type="dxa" w:w="335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Metro: casi 300 km de red; L5: 23 km de túnel modernizados con 5.400 luminarias y telemando. RFIG/Cercanías añade túneles urbanos ADIF.</w:t>
            </w:r>
          </w:p>
        </w:tc>
        <w:tc>
          <w:tcPr>
            <w:tcW w:type="dxa" w:w="35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Metro de Madrid / Comunidad de Madrid; ADIF y ADIF AV.</w:t>
            </w:r>
          </w:p>
        </w:tc>
        <w:tc>
          <w:tcPr>
            <w:tcW w:type="dxa" w:w="8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4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Cataluña</w:t>
            </w:r>
          </w:p>
        </w:tc>
        <w:tc>
          <w:tcPr>
            <w:tcW w:type="dxa" w:w="335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Metro TMB: 125,4 km de red, 165 estaciones (dato 01/01/2025). No publica km de túnel comparables.</w:t>
            </w:r>
          </w:p>
        </w:tc>
        <w:tc>
          <w:tcPr>
            <w:tcW w:type="dxa" w:w="35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FMB–TMB; Generalitat; ADIF/Rodalies; FGC.</w:t>
            </w:r>
          </w:p>
        </w:tc>
        <w:tc>
          <w:tcPr>
            <w:tcW w:type="dxa" w:w="8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4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C. Valenciana</w:t>
            </w:r>
          </w:p>
        </w:tc>
        <w:tc>
          <w:tcPr>
            <w:tcW w:type="dxa" w:w="335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Metrovalencia: 156,4 km de red y 26,6 km en túnel (último dato localizado en memoria FGV).</w:t>
            </w:r>
          </w:p>
        </w:tc>
        <w:tc>
          <w:tcPr>
            <w:tcW w:type="dxa" w:w="35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FGV / Generalitat Valenciana; ADIF.</w:t>
            </w:r>
          </w:p>
        </w:tc>
        <w:tc>
          <w:tcPr>
            <w:tcW w:type="dxa" w:w="8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4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Andalucía</w:t>
            </w:r>
          </w:p>
        </w:tc>
        <w:tc>
          <w:tcPr>
            <w:tcW w:type="dxa" w:w="335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Metro Sevilla: 18 km, 11,1 km de túnel. Metro Granada: 2,7 km de túnel. Metro Málaga: 13,6 km de red y 14 estaciones subterráneas.</w:t>
            </w:r>
          </w:p>
        </w:tc>
        <w:tc>
          <w:tcPr>
            <w:tcW w:type="dxa" w:w="35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Agencia de Obra Pública de Andalucía; concesionarias/operadores; ADIF.</w:t>
            </w:r>
          </w:p>
        </w:tc>
        <w:tc>
          <w:tcPr>
            <w:tcW w:type="dxa" w:w="8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4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País Vasco</w:t>
            </w:r>
          </w:p>
        </w:tc>
        <w:tc>
          <w:tcPr>
            <w:tcW w:type="dxa" w:w="335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Metro Bilbao: 45,1 km de red y 26 estaciones soterradas; sin km de túnel publicado en la memoria consultada.</w:t>
            </w:r>
          </w:p>
        </w:tc>
        <w:tc>
          <w:tcPr>
            <w:tcW w:type="dxa" w:w="35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Consorcio de Transportes de Bizkaia / Metro Bilbao; ETS/Euskotren; ADIF.</w:t>
            </w:r>
          </w:p>
        </w:tc>
        <w:tc>
          <w:tcPr>
            <w:tcW w:type="dxa" w:w="8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4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Asturias, Cantabria, Galicia y Castilla y León</w:t>
            </w:r>
          </w:p>
        </w:tc>
        <w:tc>
          <w:tcPr>
            <w:tcW w:type="dxa" w:w="335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Sin km autonómico consolidado publicado. Alta presencia de túnel convencional y ancho métrico en corredores Norte/Noroeste.</w:t>
            </w:r>
          </w:p>
        </w:tc>
        <w:tc>
          <w:tcPr>
            <w:tcW w:type="dxa" w:w="35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ADIF; gobiernos autonómicos en redes propias.</w:t>
            </w:r>
          </w:p>
        </w:tc>
        <w:tc>
          <w:tcPr>
            <w:tcW w:type="dxa" w:w="8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1 ferroviaria</w:t>
            </w:r>
          </w:p>
        </w:tc>
      </w:tr>
      <w:tr>
        <w:tc>
          <w:tcPr>
            <w:tcW w:type="dxa" w:w="14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Aragón y Navarra</w:t>
            </w:r>
          </w:p>
        </w:tc>
        <w:tc>
          <w:tcPr>
            <w:tcW w:type="dxa" w:w="335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Activos de montaña y proyectos de renovación; Canfranc/Somport es referencia de adecuación normativa.</w:t>
            </w:r>
          </w:p>
        </w:tc>
        <w:tc>
          <w:tcPr>
            <w:tcW w:type="dxa" w:w="35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ADIF; Gobierno de Aragón; Navarra.</w:t>
            </w:r>
          </w:p>
        </w:tc>
        <w:tc>
          <w:tcPr>
            <w:tcW w:type="dxa" w:w="8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4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Castilla-La Mancha, Extremadura, Murcia y La Rioja</w:t>
            </w:r>
          </w:p>
        </w:tc>
        <w:tc>
          <w:tcPr>
            <w:tcW w:type="dxa" w:w="335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RFIG con activos convencionales; sin cifra autonómica pública consolidada localizada.</w:t>
            </w:r>
          </w:p>
        </w:tc>
        <w:tc>
          <w:tcPr>
            <w:tcW w:type="dxa" w:w="35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ADIF.</w:t>
            </w:r>
          </w:p>
        </w:tc>
        <w:tc>
          <w:tcPr>
            <w:tcW w:type="dxa" w:w="8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2–3</w:t>
            </w:r>
          </w:p>
        </w:tc>
      </w:tr>
      <w:tr>
        <w:tc>
          <w:tcPr>
            <w:tcW w:type="dxa" w:w="14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Illes Balears y Canarias</w:t>
            </w:r>
          </w:p>
        </w:tc>
        <w:tc>
          <w:tcPr>
            <w:tcW w:type="dxa" w:w="335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Alcance ferroviario menor; Palma/SFM y tranvías o metros ligeros requieren revisión caso a caso.</w:t>
            </w:r>
          </w:p>
        </w:tc>
        <w:tc>
          <w:tcPr>
            <w:tcW w:type="dxa" w:w="35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SFM / Govern Balear; cabildos y operadores locales.</w:t>
            </w:r>
          </w:p>
        </w:tc>
        <w:tc>
          <w:tcPr>
            <w:tcW w:type="dxa" w:w="8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3</w:t>
            </w:r>
          </w:p>
        </w:tc>
      </w:tr>
    </w:tbl>
    <w:p>
      <w:pPr>
        <w:spacing w:after="80" w:before="0" w:line="276"/>
      </w:pPr>
      <w:r>
        <w:rPr>
          <w:rFonts w:ascii="Aptos" w:cs="Aptos" w:eastAsia="Aptos" w:hAnsi="Aptos"/>
          <w:color w:val="5B6870"/>
          <w:sz w:val="15"/>
          <w:szCs w:val="15"/>
        </w:rPr>
        <w:t xml:space="preserve">Nota metodológica: la tabla no suma “km de red” ni usa estos como sustituto de km de túnel. Es una matriz de prospección y no un censo de activos. La información pública permite afirmar con seguridad que los principales compradores se concentran en esas comunidades; para una licitación se debe validar el inventario específico.</w:t>
      </w:r>
    </w:p>
    <w:p>
      <w:pPr>
        <w:pStyle w:val="Heading1"/>
        <w:keepNext/>
        <w:spacing w:after="120" w:before="270"/>
      </w:pPr>
      <w:r>
        <w:t xml:space="preserve">3. Qué iluminación requiere cada activo</w:t>
      </w:r>
      <w:r>
        <w:rPr>
          <w:rFonts w:ascii="Aptos" w:cs="Aptos" w:eastAsia="Aptos" w:hAnsi="Aptos"/>
          <w:b/>
          <w:bCs/>
          <w:color w:val="0B3A5B"/>
          <w:sz w:val="32"/>
          <w:szCs w:val="32"/>
        </w:rPr>
        <w:t xml:space="preserve">3. Qué iluminación requiere cada activo</w:t>
      </w:r>
    </w:p>
    <w:tbl>
      <w:tblPr>
        <w:tblW w:type="dxa" w:w="9806"/>
        <w:tblBorders>
          <w:top w:val="single" w:color="C9DDE2" w:sz="4"/>
          <w:left w:val="single" w:color="C9DDE2" w:sz="4"/>
          <w:bottom w:val="single" w:color="C9DDE2" w:sz="4"/>
          <w:right w:val="single" w:color="C9DDE2" w:sz="4"/>
          <w:insideH w:val="single" w:color="C9DDE2" w:sz="2"/>
          <w:insideV w:val="single" w:color="C9DDE2" w:sz="2"/>
        </w:tblBorders>
      </w:tblPr>
      <w:tblGrid>
        <w:gridCol w:w="2100"/>
        <w:gridCol w:w="3200"/>
        <w:gridCol w:w="3750"/>
      </w:tblGrid>
      <w:tr>
        <w:trPr>
          <w:tblHeader/>
        </w:trPr>
        <w:tc>
          <w:tcPr>
            <w:tcW w:type="dxa" w:w="2100"/>
            <w:shd w:color="0B3A5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Activo</w:t>
            </w:r>
          </w:p>
        </w:tc>
        <w:tc>
          <w:tcPr>
            <w:tcW w:type="dxa" w:w="3200"/>
            <w:shd w:color="0B3A5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Función de iluminación</w:t>
            </w:r>
          </w:p>
        </w:tc>
        <w:tc>
          <w:tcPr>
            <w:tcW w:type="dxa" w:w="3750"/>
            <w:shd w:color="0B3A5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Diseño y compra</w:t>
            </w:r>
          </w:p>
        </w:tc>
      </w:tr>
      <w:tr>
        <w:tc>
          <w:tcPr>
            <w:tcW w:type="dxa" w:w="21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Túnel ferroviario de línea</w:t>
            </w:r>
          </w:p>
        </w:tc>
        <w:tc>
          <w:tcPr>
            <w:tcW w:type="dxa" w:w="32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Guiar evacuación y acceso de rescate; no crear iluminación continua de conducción.</w:t>
            </w:r>
          </w:p>
        </w:tc>
        <w:tc>
          <w:tcPr>
            <w:tcW w:type="dxa" w:w="375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Línea de baja altura/pasamanos, sectorización, accionamiento local y remoto, alimentación alternativa.</w:t>
            </w:r>
          </w:p>
        </w:tc>
      </w:tr>
      <w:tr>
        <w:tc>
          <w:tcPr>
            <w:tcW w:type="dxa" w:w="21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Galerías, salidas y zonas seguras</w:t>
            </w:r>
          </w:p>
        </w:tc>
        <w:tc>
          <w:tcPr>
            <w:tcW w:type="dxa" w:w="32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Reconocimiento de puerta, mecanismo, equipos de incendio y tránsito.</w:t>
            </w:r>
          </w:p>
        </w:tc>
        <w:tc>
          <w:tcPr>
            <w:tcW w:type="dxa" w:w="375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Nivel superior, encendido permanente en accesos críticos, señalización y balizamiento.</w:t>
            </w:r>
          </w:p>
        </w:tc>
      </w:tr>
      <w:tr>
        <w:tc>
          <w:tcPr>
            <w:tcW w:type="dxa" w:w="21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Salas técnicas / centros de transformación</w:t>
            </w:r>
          </w:p>
        </w:tc>
        <w:tc>
          <w:tcPr>
            <w:tcW w:type="dxa" w:w="32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Intervención segura, mantenimiento y respuesta de emergencia.</w:t>
            </w:r>
          </w:p>
        </w:tc>
        <w:tc>
          <w:tcPr>
            <w:tcW w:type="dxa" w:w="375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Iluminación funcional + emergencia, selectividad eléctrica, monitorización.</w:t>
            </w:r>
          </w:p>
        </w:tc>
      </w:tr>
      <w:tr>
        <w:tc>
          <w:tcPr>
            <w:tcW w:type="dxa" w:w="21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Metro: túnel de línea</w:t>
            </w:r>
          </w:p>
        </w:tc>
        <w:tc>
          <w:tcPr>
            <w:tcW w:type="dxa" w:w="32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Socorro, evacuación, fuerza de túnel y continuidad operativa.</w:t>
            </w:r>
          </w:p>
        </w:tc>
        <w:tc>
          <w:tcPr>
            <w:tcW w:type="dxa" w:w="375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Normal + socorro + emergencia separados; integración con telemando/COMMIT o SCADA.</w:t>
            </w:r>
          </w:p>
        </w:tc>
      </w:tr>
      <w:tr>
        <w:tc>
          <w:tcPr>
            <w:tcW w:type="dxa" w:w="21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Andenes y vestíbulos</w:t>
            </w:r>
          </w:p>
        </w:tc>
        <w:tc>
          <w:tcPr>
            <w:tcW w:type="dxa" w:w="32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Servicio público, evacuación, accesibilidad y confort.</w:t>
            </w:r>
          </w:p>
        </w:tc>
        <w:tc>
          <w:tcPr>
            <w:tcW w:type="dxa" w:w="375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Proyecto luminotécnico específico; mercado complementario, no confundir con túnel ferroviario.</w:t>
            </w:r>
          </w:p>
        </w:tc>
      </w:tr>
    </w:tbl>
    <w:p>
      <w:pPr>
        <w:pStyle w:val="Heading2"/>
        <w:keepNext/>
        <w:spacing w:after="120" w:before="270"/>
      </w:pPr>
      <w:r>
        <w:t xml:space="preserve">Marco técnico ferroviario RFIG</w:t>
      </w:r>
      <w:r>
        <w:rPr>
          <w:rFonts w:ascii="Aptos" w:cs="Aptos" w:eastAsia="Aptos" w:hAnsi="Aptos"/>
          <w:b/>
          <w:bCs/>
          <w:color w:val="007C83"/>
          <w:sz w:val="27"/>
          <w:szCs w:val="27"/>
        </w:rPr>
        <w:t xml:space="preserve">Marco técnico ferroviario RFIG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t xml:space="preserve">Túneles &gt;500 m: alumbrado de emergencia en túnel de línea, salidas, galerías y salas técnicas; 2 lux mínimo a nivel de suelo en el punto desfavorable, con factor de envejecimiento 0,8. [1]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t xml:space="preserve">Vía única: en el hastial del pasillo de evacuación. Vía doble: ambos hastiales, al tresbolillo. Luminaria baja o integrada en pasamanos, sin deslumbrar. [1]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t xml:space="preserve">Autonomía: alimentación alternativa durante al menos 90 minutos. Accionamiento manual, generalmente cada 150 m como máximo, y remoto desde el centro de control. [1]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t xml:space="preserve">Salidas, galerías y salas técnicas: mínimo 5 lux. Enlaces con salidas: tres luminarias y 5 lux, encendidos permanentemente. [1]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t xml:space="preserve">Señalización: en túneles ≥100 m, separación máxima de 50 m en el mismo hastial. [1]</w:t>
      </w:r>
    </w:p>
    <w:p>
      <w:pPr>
        <w:spacing w:after="100" w:before="0" w:line="276"/>
      </w:pPr>
      <w:r>
        <w:rPr>
          <w:rFonts w:ascii="Aptos" w:cs="Aptos" w:eastAsia="Aptos" w:hAnsi="Aptos"/>
          <w:color w:val="20323D"/>
          <w:sz w:val="17"/>
          <w:szCs w:val="17"/>
        </w:rPr>
        <w:t xml:space="preserve">La ETI europea de seguridad en túneles fija el mínimo de 1 lux para túneles de más de 500 m; la IFI española lo eleva a 2 lux y añade requisitos de ejecución. [2][1]</w:t>
      </w:r>
    </w:p>
    <w:p>
      <w:pPr>
        <w:pStyle w:val="Heading1"/>
        <w:keepNext/>
        <w:spacing w:after="120" w:before="270"/>
      </w:pPr>
      <w:r>
        <w:t xml:space="preserve">4. Situación de mercado y evidencia de inversión</w:t>
      </w:r>
      <w:r>
        <w:rPr>
          <w:rFonts w:ascii="Aptos" w:cs="Aptos" w:eastAsia="Aptos" w:hAnsi="Aptos"/>
          <w:b/>
          <w:bCs/>
          <w:color w:val="0B3A5B"/>
          <w:sz w:val="32"/>
          <w:szCs w:val="32"/>
        </w:rPr>
        <w:t xml:space="preserve">4. Situación de mercado y evidencia de inversión</w:t>
      </w:r>
    </w:p>
    <w:p>
      <w:pPr>
        <w:pStyle w:val="Heading2"/>
        <w:keepNext/>
        <w:spacing w:after="120" w:before="270"/>
      </w:pPr>
      <w:r>
        <w:t xml:space="preserve">Casos que prueban demanda</w:t>
      </w:r>
      <w:r>
        <w:rPr>
          <w:rFonts w:ascii="Aptos" w:cs="Aptos" w:eastAsia="Aptos" w:hAnsi="Aptos"/>
          <w:b/>
          <w:bCs/>
          <w:color w:val="007C83"/>
          <w:sz w:val="27"/>
          <w:szCs w:val="27"/>
        </w:rPr>
        <w:t xml:space="preserve">Casos que prueban demanda</w:t>
      </w:r>
    </w:p>
    <w:tbl>
      <w:tblPr>
        <w:tblW w:type="dxa" w:w="9806"/>
        <w:tblBorders>
          <w:top w:val="single" w:color="C9DDE2" w:sz="4"/>
          <w:left w:val="single" w:color="C9DDE2" w:sz="4"/>
          <w:bottom w:val="single" w:color="C9DDE2" w:sz="4"/>
          <w:right w:val="single" w:color="C9DDE2" w:sz="4"/>
          <w:insideH w:val="single" w:color="C9DDE2" w:sz="2"/>
          <w:insideV w:val="single" w:color="C9DDE2" w:sz="2"/>
        </w:tblBorders>
      </w:tblPr>
      <w:tblGrid>
        <w:gridCol w:w="2200"/>
        <w:gridCol w:w="3900"/>
        <w:gridCol w:w="2950"/>
      </w:tblGrid>
      <w:tr>
        <w:trPr>
          <w:tblHeader/>
        </w:trPr>
        <w:tc>
          <w:tcPr>
            <w:tcW w:type="dxa" w:w="2200"/>
            <w:shd w:color="0B3A5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Caso</w:t>
            </w:r>
          </w:p>
        </w:tc>
        <w:tc>
          <w:tcPr>
            <w:tcW w:type="dxa" w:w="3900"/>
            <w:shd w:color="0B3A5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Alcance conocido</w:t>
            </w:r>
          </w:p>
        </w:tc>
        <w:tc>
          <w:tcPr>
            <w:tcW w:type="dxa" w:w="2950"/>
            <w:shd w:color="0B3A5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Lectura</w:t>
            </w:r>
          </w:p>
        </w:tc>
      </w:tr>
      <w:tr>
        <w:tc>
          <w:tcPr>
            <w:tcW w:type="dxa" w:w="22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Guadarrama + San Pedro (ADIF AV, 2026)</w:t>
            </w:r>
          </w:p>
        </w:tc>
        <w:tc>
          <w:tcPr>
            <w:tcW w:type="dxa" w:w="39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Más de 6,5 M€; 10.495 puntos de luz; 37,4 km de túnel. Sustitución de sodio/fluorescencia, eliminación de baterías internas mediante alimentación centralizada.</w:t>
            </w:r>
          </w:p>
        </w:tc>
        <w:tc>
          <w:tcPr>
            <w:tcW w:type="dxa" w:w="295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Benchmark de gran activo: ~619 €/punto de luz como simple división de presupuesto/puntos, no precio unitario transferible.</w:t>
            </w:r>
          </w:p>
        </w:tc>
      </w:tr>
      <w:tr>
        <w:tc>
          <w:tcPr>
            <w:tcW w:type="dxa" w:w="22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Línea 5 Metro Madrid (2017)</w:t>
            </w:r>
          </w:p>
        </w:tc>
        <w:tc>
          <w:tcPr>
            <w:tcW w:type="dxa" w:w="39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2,55 M€; 23 km de túnel; 5.400 luminarias, 930 cuadros y &gt;160 km de cable resistente al fuego; integración en COMMIT.</w:t>
            </w:r>
          </w:p>
        </w:tc>
        <w:tc>
          <w:tcPr>
            <w:tcW w:type="dxa" w:w="295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Prueba de que la renovación es sistema completo: luminaria, distribución, cableado y control.</w:t>
            </w:r>
          </w:p>
        </w:tc>
      </w:tr>
      <w:tr>
        <w:tc>
          <w:tcPr>
            <w:tcW w:type="dxa" w:w="22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Túneles C-5 Cercanías Madrid (2026)</w:t>
            </w:r>
          </w:p>
        </w:tc>
        <w:tc>
          <w:tcPr>
            <w:tcW w:type="dxa" w:w="39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Autorizada inversión de 84,7 M€ para seguridad/evacuación de cuatro túneles, con pasamanos LED, señalización, comunicaciones, antiintrusión, CCTV e hidrantes.</w:t>
            </w:r>
          </w:p>
        </w:tc>
        <w:tc>
          <w:tcPr>
            <w:tcW w:type="dxa" w:w="295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La iluminación se adjudica dentro de paquetes de seguridad y obra civil; socios integradores son decisivos.</w:t>
            </w:r>
          </w:p>
        </w:tc>
      </w:tr>
      <w:tr>
        <w:tc>
          <w:tcPr>
            <w:tcW w:type="dxa" w:w="22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Gestión ADIF convencional/ancho métrico (2025)</w:t>
            </w:r>
          </w:p>
        </w:tc>
        <w:tc>
          <w:tcPr>
            <w:tcW w:type="dxa" w:w="39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Contrato nacional de 6 lotes, 9,64 M€ estimados y 12 meses para instalaciones de protección y seguridad.</w:t>
            </w:r>
          </w:p>
        </w:tc>
        <w:tc>
          <w:tcPr>
            <w:tcW w:type="dxa" w:w="295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Mantenimiento y disponibilidad generan ingresos recurrentes y acreditaciones de entrada.</w:t>
            </w:r>
          </w:p>
        </w:tc>
      </w:tr>
    </w:tbl>
    <w:p>
      <w:pPr>
        <w:spacing w:after="100" w:before="0" w:line="276"/>
      </w:pPr>
      <w:r>
        <w:rPr>
          <w:rFonts w:ascii="Aptos" w:cs="Aptos" w:eastAsia="Aptos" w:hAnsi="Aptos"/>
          <w:color w:val="20323D"/>
          <w:sz w:val="17"/>
          <w:szCs w:val="17"/>
        </w:rPr>
        <w:t xml:space="preserve">El caso Guadarrama/San Pedro es especialmente ilustrativo: la tecnología heredada incluía sodio de 70 W, fluorescencia de 36 W y baterías autónomas. El alcance previsto sustituye o reaprovecha soportes, centraliza alimentación donde existe redundancia y persigue hasta un 80% de reducción de consumo según la información de licitación sectorial. [6]</w:t>
      </w:r>
    </w:p>
    <w:p>
      <w:pPr>
        <w:pStyle w:val="Heading2"/>
        <w:keepNext/>
        <w:spacing w:after="120" w:before="270"/>
      </w:pPr>
      <w:r>
        <w:t xml:space="preserve">Catalizadores 2026–2030</w:t>
      </w:r>
      <w:r>
        <w:rPr>
          <w:rFonts w:ascii="Aptos" w:cs="Aptos" w:eastAsia="Aptos" w:hAnsi="Aptos"/>
          <w:b/>
          <w:bCs/>
          <w:color w:val="007C83"/>
          <w:sz w:val="27"/>
          <w:szCs w:val="27"/>
        </w:rPr>
        <w:t xml:space="preserve">Catalizadores 2026–2030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t xml:space="preserve">Fin de vida, mercurio y falta de repuestos de fluorescencia, sodio y baterías NiCd.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t xml:space="preserve">Renovación de túneles y adecuación de protección civil: al renovar, las partes afectadas pasan a cumplir la IFI/ETI aplicables. [1]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t xml:space="preserve">Digitalización de centros de control: telemando, pruebas, alarmas y ciberseguridad de OT. Metro de Madrid dispone de COMMIT y ha certificado su entorno digital conforme al ENS. [8]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t xml:space="preserve">Restricciones de mantenimiento: ventanas nocturnas, corte de línea, acceso y seguridad ferroviaria elevan el valor de soluciones modulares y de sustitución rápida.</w:t>
      </w:r>
    </w:p>
    <w:p>
      <w:pPr>
        <w:pStyle w:val="Heading1"/>
        <w:keepNext/>
        <w:spacing w:after="120" w:before="270"/>
      </w:pPr>
      <w:r>
        <w:t xml:space="preserve">5. Quién decide, quién opera y cómo se compra</w:t>
      </w:r>
      <w:r>
        <w:rPr>
          <w:rFonts w:ascii="Aptos" w:cs="Aptos" w:eastAsia="Aptos" w:hAnsi="Aptos"/>
          <w:b/>
          <w:bCs/>
          <w:color w:val="0B3A5B"/>
          <w:sz w:val="32"/>
          <w:szCs w:val="32"/>
        </w:rPr>
        <w:t xml:space="preserve">5. Quién decide, quién opera y cómo se compra</w:t>
      </w:r>
    </w:p>
    <w:tbl>
      <w:tblPr>
        <w:tblW w:type="dxa" w:w="9806"/>
        <w:tblBorders>
          <w:top w:val="single" w:color="C9DDE2" w:sz="4"/>
          <w:left w:val="single" w:color="C9DDE2" w:sz="4"/>
          <w:bottom w:val="single" w:color="C9DDE2" w:sz="4"/>
          <w:right w:val="single" w:color="C9DDE2" w:sz="4"/>
          <w:insideH w:val="single" w:color="C9DDE2" w:sz="2"/>
          <w:insideV w:val="single" w:color="C9DDE2" w:sz="2"/>
        </w:tblBorders>
      </w:tblPr>
      <w:tblGrid>
        <w:gridCol w:w="1900"/>
        <w:gridCol w:w="3700"/>
        <w:gridCol w:w="3450"/>
      </w:tblGrid>
      <w:tr>
        <w:trPr>
          <w:tblHeader/>
        </w:trPr>
        <w:tc>
          <w:tcPr>
            <w:tcW w:type="dxa" w:w="1900"/>
            <w:shd w:color="0B3A5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Capa</w:t>
            </w:r>
          </w:p>
        </w:tc>
        <w:tc>
          <w:tcPr>
            <w:tcW w:type="dxa" w:w="3700"/>
            <w:shd w:color="0B3A5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Organismos / entidades</w:t>
            </w:r>
          </w:p>
        </w:tc>
        <w:tc>
          <w:tcPr>
            <w:tcW w:type="dxa" w:w="3450"/>
            <w:shd w:color="0B3A5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Papel en la venta</w:t>
            </w:r>
          </w:p>
        </w:tc>
      </w:tr>
      <w:tr>
        <w:tc>
          <w:tcPr>
            <w:tcW w:type="dxa" w:w="19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Política y regulación estatal</w:t>
            </w:r>
          </w:p>
        </w:tc>
        <w:tc>
          <w:tcPr>
            <w:tcW w:type="dxa" w:w="37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Ministerio de Transportes; AESF; Comisión Europea/ERA.</w:t>
            </w:r>
          </w:p>
        </w:tc>
        <w:tc>
          <w:tcPr>
            <w:tcW w:type="dxa" w:w="345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Marco RFIG, autorizaciones, IFI/ETI; no suelen comprar luminarias directamente.</w:t>
            </w:r>
          </w:p>
        </w:tc>
      </w:tr>
      <w:tr>
        <w:tc>
          <w:tcPr>
            <w:tcW w:type="dxa" w:w="19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Gestor de infraestructura RFIG</w:t>
            </w:r>
          </w:p>
        </w:tc>
        <w:tc>
          <w:tcPr>
            <w:tcW w:type="dxa" w:w="37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ADIF y ADIF Alta Velocidad.</w:t>
            </w:r>
          </w:p>
        </w:tc>
        <w:tc>
          <w:tcPr>
            <w:tcW w:type="dxa" w:w="345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Propietario/gestor, ingeniería, conservación, seguridad y licitación; comprador central clave.</w:t>
            </w:r>
          </w:p>
        </w:tc>
      </w:tr>
      <w:tr>
        <w:tc>
          <w:tcPr>
            <w:tcW w:type="dxa" w:w="19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Transporte urbano/metropolitano</w:t>
            </w:r>
          </w:p>
        </w:tc>
        <w:tc>
          <w:tcPr>
            <w:tcW w:type="dxa" w:w="37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Comunidades autónomas, consorcios, empresas públicas y concesionarias: Metro de Madrid, FMB–TMB, FGV, Metro Bilbao, Agencia de Obra Pública de Andalucía, etc.</w:t>
            </w:r>
          </w:p>
        </w:tc>
        <w:tc>
          <w:tcPr>
            <w:tcW w:type="dxa" w:w="345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Definen estándares propios, presupuesto, telemando y mantenimiento.</w:t>
            </w:r>
          </w:p>
        </w:tc>
      </w:tr>
      <w:tr>
        <w:tc>
          <w:tcPr>
            <w:tcW w:type="dxa" w:w="19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Explotación y seguridad</w:t>
            </w:r>
          </w:p>
        </w:tc>
        <w:tc>
          <w:tcPr>
            <w:tcW w:type="dxa" w:w="37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Centro de control, protección civil, bomberos, mantenedor y contratista de seguridad.</w:t>
            </w:r>
          </w:p>
        </w:tc>
        <w:tc>
          <w:tcPr>
            <w:tcW w:type="dxa" w:w="345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Influyen en especificación: modos de fallo, pruebas, respuesta y mantenibilidad.</w:t>
            </w:r>
          </w:p>
        </w:tc>
      </w:tr>
      <w:tr>
        <w:tc>
          <w:tcPr>
            <w:tcW w:type="dxa" w:w="19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Ingeniería e integrador</w:t>
            </w:r>
          </w:p>
        </w:tc>
        <w:tc>
          <w:tcPr>
            <w:tcW w:type="dxa" w:w="37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Ingenierías de proyecto, instaladores ferroviarios, protección contra incendios, SCADA/telecom.</w:t>
            </w:r>
          </w:p>
        </w:tc>
        <w:tc>
          <w:tcPr>
            <w:tcW w:type="dxa" w:w="345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Prescriben y entregan la solución completa; canal necesario en contratos integrados.</w:t>
            </w:r>
          </w:p>
        </w:tc>
      </w:tr>
    </w:tbl>
    <w:p>
      <w:pPr>
        <w:pStyle w:val="Heading2"/>
        <w:keepNext/>
        <w:spacing w:after="120" w:before="270"/>
      </w:pPr>
      <w:r>
        <w:t xml:space="preserve">Patrón de contratación</w:t>
      </w:r>
      <w:r>
        <w:rPr>
          <w:rFonts w:ascii="Aptos" w:cs="Aptos" w:eastAsia="Aptos" w:hAnsi="Aptos"/>
          <w:b/>
          <w:bCs/>
          <w:color w:val="007C83"/>
          <w:sz w:val="27"/>
          <w:szCs w:val="27"/>
        </w:rPr>
        <w:t xml:space="preserve">Patrón de contratación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t xml:space="preserve">ADIF compra por lotes territoriales y especialidad; el contrato de 2025 se estructuró Centro, Este, Noreste, Noroeste, Norte y Sur. [5]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t xml:space="preserve">La licitación combina solvencia de conservación ferroviaria y mantenimiento de instalaciones de seguridad/PCI. Precio ponderó 75%; organización/recursos 15% y plazos 10%. [5]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t xml:space="preserve">En metro, el titular suele compra por renovación de línea, estación, sistema de emergencia o mantenimiento plurianual. La homologación y compatibilidad con el telemando existente pesan mucho.</w:t>
      </w:r>
    </w:p>
    <w:tbl>
      <w:tblPr>
        <w:tblW w:type="dxa" w:w="9806"/>
        <w:tblBorders>
          <w:top w:val="single" w:color="007C83" w:sz="6"/>
          <w:left w:val="single" w:color="007C83" w:sz="2"/>
          <w:bottom w:val="single" w:color="007C83" w:sz="2"/>
          <w:right w:val="single" w:color="007C83" w:sz="2"/>
          <w:insideH w:val="single" w:color="auto" w:sz="4"/>
          <w:insideV w:val="single" w:color="auto" w:sz="4"/>
        </w:tblBorders>
      </w:tblPr>
      <w:tblGrid>
        <w:gridCol w:w="9806"/>
      </w:tblGrid>
      <w:tr>
        <w:tc>
          <w:tcPr>
            <w:tcW w:type="dxa" w:w="9806"/>
            <w:shd w:color="D8EEF0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55" w:before="0" w:line="276"/>
            </w:pPr>
            <w:r>
              <w:rPr>
                <w:rFonts w:ascii="Aptos" w:cs="Aptos" w:eastAsia="Aptos" w:hAnsi="Aptos"/>
                <w:b/>
                <w:bCs/>
                <w:color w:val="0B3A5B"/>
                <w:sz w:val="18"/>
                <w:szCs w:val="18"/>
              </w:rPr>
              <w:t xml:space="preserve">Mensaje para SALVI</w:t>
            </w:r>
          </w:p>
          <w:p>
            <w:pPr>
              <w:spacing w:after="0" w:before="0" w:line="235"/>
            </w:pPr>
            <w:r>
              <w:rPr>
                <w:rFonts w:ascii="Aptos" w:cs="Aptos" w:eastAsia="Aptos" w:hAnsi="Aptos"/>
                <w:color w:val="20323D"/>
                <w:sz w:val="17"/>
                <w:szCs w:val="17"/>
              </w:rPr>
              <w:t xml:space="preserve">No competir solo por precio de luminaria. Preparar una oferta con expediente de conformidad, fotometría de ruta de evacuación, esquema de alimentación, lógica de sectorización, integración de señales, FAT/SAT, protocolo de prueba y plan de mantenimiento.</w:t>
            </w:r>
          </w:p>
        </w:tc>
      </w:tr>
    </w:tbl>
    <w:p>
      <w:pPr>
        <w:pStyle w:val="Heading1"/>
        <w:keepNext/>
        <w:spacing w:after="120" w:before="270"/>
      </w:pPr>
      <w:r>
        <w:t xml:space="preserve">6. Competencia y canales</w:t>
      </w:r>
      <w:r>
        <w:rPr>
          <w:rFonts w:ascii="Aptos" w:cs="Aptos" w:eastAsia="Aptos" w:hAnsi="Aptos"/>
          <w:b/>
          <w:bCs/>
          <w:color w:val="0B3A5B"/>
          <w:sz w:val="32"/>
          <w:szCs w:val="32"/>
        </w:rPr>
        <w:t xml:space="preserve">6. Competencia y canales</w:t>
      </w:r>
    </w:p>
    <w:p>
      <w:pPr>
        <w:spacing w:after="130" w:before="0" w:line="276"/>
      </w:pPr>
      <w:r>
        <w:rPr>
          <w:rFonts w:ascii="Aptos" w:cs="Aptos" w:eastAsia="Aptos" w:hAnsi="Aptos"/>
          <w:color w:val="20323D"/>
          <w:sz w:val="17"/>
          <w:szCs w:val="17"/>
        </w:rPr>
        <w:t xml:space="preserve">La competencia está fragmentada. Conviene distinguir fabricantes de iluminación, fabricantes de emergencia/control e integradores. La relación siguiente no afirma homologación en todos los operadores: identifica actores activos y referencias públicas localizadas.</w:t>
      </w:r>
    </w:p>
    <w:tbl>
      <w:tblPr>
        <w:tblW w:type="dxa" w:w="9806"/>
        <w:tblBorders>
          <w:top w:val="single" w:color="C9DDE2" w:sz="4"/>
          <w:left w:val="single" w:color="C9DDE2" w:sz="4"/>
          <w:bottom w:val="single" w:color="C9DDE2" w:sz="4"/>
          <w:right w:val="single" w:color="C9DDE2" w:sz="4"/>
          <w:insideH w:val="single" w:color="C9DDE2" w:sz="2"/>
          <w:insideV w:val="single" w:color="C9DDE2" w:sz="2"/>
        </w:tblBorders>
      </w:tblPr>
      <w:tblGrid>
        <w:gridCol w:w="1850"/>
        <w:gridCol w:w="3350"/>
        <w:gridCol w:w="3850"/>
      </w:tblGrid>
      <w:tr>
        <w:trPr>
          <w:tblHeader/>
        </w:trPr>
        <w:tc>
          <w:tcPr>
            <w:tcW w:type="dxa" w:w="1850"/>
            <w:shd w:color="0B3A5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Grupo</w:t>
            </w:r>
          </w:p>
        </w:tc>
        <w:tc>
          <w:tcPr>
            <w:tcW w:type="dxa" w:w="3350"/>
            <w:shd w:color="0B3A5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Actores</w:t>
            </w:r>
          </w:p>
        </w:tc>
        <w:tc>
          <w:tcPr>
            <w:tcW w:type="dxa" w:w="3850"/>
            <w:shd w:color="0B3A5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Evidencia / posición</w:t>
            </w:r>
          </w:p>
        </w:tc>
      </w:tr>
      <w:tr>
        <w:tc>
          <w:tcPr>
            <w:tcW w:type="dxa" w:w="185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Especialistas emergencia / túnel</w:t>
            </w:r>
          </w:p>
        </w:tc>
        <w:tc>
          <w:tcPr>
            <w:tcW w:type="dxa" w:w="335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DSAF; Daisalux; Eaton; Zumtobel; Beghelli y otros fabricantes de emergencia.</w:t>
            </w:r>
          </w:p>
        </w:tc>
        <w:tc>
          <w:tcPr>
            <w:tcW w:type="dxa" w:w="385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DSAF declara aplicación en alumbrado de emergencia de túneles ferroviarios y carreteros. Daisalux/Eaton/Zumtobel son competidores de categoría que deben validarse por homologación y referencia. [9]</w:t>
            </w:r>
          </w:p>
        </w:tc>
      </w:tr>
      <w:tr>
        <w:tc>
          <w:tcPr>
            <w:tcW w:type="dxa" w:w="185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Iluminación lineal / túnel</w:t>
            </w:r>
          </w:p>
        </w:tc>
        <w:tc>
          <w:tcPr>
            <w:tcW w:type="dxa" w:w="335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Carandini, Signify, Schréder, Novea y fabricantes industriales.</w:t>
            </w:r>
          </w:p>
        </w:tc>
        <w:tc>
          <w:tcPr>
            <w:tcW w:type="dxa" w:w="385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Carandini tiene referencia pública de alumbrado lineal de emergencia en túnel urbano de Barcelona, con mantenimiento ACISA. En ferrocarril hay que validar requisitos IFI. [11]</w:t>
            </w:r>
          </w:p>
        </w:tc>
      </w:tr>
      <w:tr>
        <w:tc>
          <w:tcPr>
            <w:tcW w:type="dxa" w:w="185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Instalación y mantenimiento</w:t>
            </w:r>
          </w:p>
        </w:tc>
        <w:tc>
          <w:tcPr>
            <w:tcW w:type="dxa" w:w="335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ISC, ACISA, integradores ferroviarios y empresas PCI/telecom.</w:t>
            </w:r>
          </w:p>
        </w:tc>
        <w:tc>
          <w:tcPr>
            <w:tcW w:type="dxa" w:w="385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ISC comunica contrato de mantenimiento y actualización de iluminación de Metro Barcelona; ACISA aparece en mantenimiento integral de túneles urbanos. Referencias de canal, no equivalen a adjudicación ferroviaria. [12][11]</w:t>
            </w:r>
          </w:p>
        </w:tc>
      </w:tr>
      <w:tr>
        <w:tc>
          <w:tcPr>
            <w:tcW w:type="dxa" w:w="185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Sistemas integrados</w:t>
            </w:r>
          </w:p>
        </w:tc>
        <w:tc>
          <w:tcPr>
            <w:tcW w:type="dxa" w:w="335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Contratistas ferroviarios, protección civil, SCADA, telecomunicaciones y obra civil.</w:t>
            </w:r>
          </w:p>
        </w:tc>
        <w:tc>
          <w:tcPr>
            <w:tcW w:type="dxa" w:w="385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Compiten por el paquete completo en proyectos como C-5: iluminación, comunicación, CCTV, accesos, ventilación y evacuación. [13]</w:t>
            </w:r>
          </w:p>
        </w:tc>
      </w:tr>
    </w:tbl>
    <w:p>
      <w:pPr>
        <w:pStyle w:val="Heading2"/>
        <w:keepNext/>
        <w:spacing w:after="120" w:before="270"/>
      </w:pPr>
      <w:r>
        <w:t xml:space="preserve">Huecos competitivos aprovechables</w:t>
      </w:r>
      <w:r>
        <w:rPr>
          <w:rFonts w:ascii="Aptos" w:cs="Aptos" w:eastAsia="Aptos" w:hAnsi="Aptos"/>
          <w:b/>
          <w:bCs/>
          <w:color w:val="007C83"/>
          <w:sz w:val="27"/>
          <w:szCs w:val="27"/>
        </w:rPr>
        <w:t xml:space="preserve">Huecos competitivos aprovechables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t xml:space="preserve">Producto diseñado desde normativa ferroviaria: no adaptar una luminaria de nave industrial al final del proyecto.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t xml:space="preserve">Sistema centralizado “batteryless” cuando hay doble acometida, SAI y grupo; reduce miles de baterías y visitas de mantenimiento.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t xml:space="preserve">Diagnóstico conectado, pero “fail-safe”: la pérdida de comunicaciones no puede comprometer encendido ni autonomía.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t xml:space="preserve">Retrofit de baja intervención: reutilización de soportes/infraestructura existente, conectores resistentes y ejecución en ventanas cortas.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t xml:space="preserve">Servicio documental: inventario digital, pruebas de autonomía, informe de conformidad y trazabilidad de mantenimiento.</w:t>
      </w:r>
    </w:p>
    <w:p>
      <w:pPr>
        <w:pStyle w:val="Heading1"/>
        <w:keepNext/>
        <w:spacing w:after="120" w:before="270"/>
      </w:pPr>
      <w:r>
        <w:t xml:space="preserve">7. Propuesta de valor y arquitectura recomendada</w:t>
      </w:r>
      <w:r>
        <w:rPr>
          <w:rFonts w:ascii="Aptos" w:cs="Aptos" w:eastAsia="Aptos" w:hAnsi="Aptos"/>
          <w:b/>
          <w:bCs/>
          <w:color w:val="0B3A5B"/>
          <w:sz w:val="32"/>
          <w:szCs w:val="32"/>
        </w:rPr>
        <w:t xml:space="preserve">7. Propuesta de valor y arquitectura recomendada</w:t>
      </w:r>
    </w:p>
    <w:p>
      <w:pPr>
        <w:pStyle w:val="Heading2"/>
        <w:keepNext/>
        <w:spacing w:after="120" w:before="270"/>
      </w:pPr>
      <w:r>
        <w:t xml:space="preserve">Paquete técnico mínimo</w:t>
      </w:r>
      <w:r>
        <w:rPr>
          <w:rFonts w:ascii="Aptos" w:cs="Aptos" w:eastAsia="Aptos" w:hAnsi="Aptos"/>
          <w:b/>
          <w:bCs/>
          <w:color w:val="007C83"/>
          <w:sz w:val="27"/>
          <w:szCs w:val="27"/>
        </w:rPr>
        <w:t xml:space="preserve">Paquete técnico mínimo</w:t>
      </w:r>
    </w:p>
    <w:tbl>
      <w:tblPr>
        <w:tblW w:type="dxa" w:w="9806"/>
        <w:tblBorders>
          <w:top w:val="single" w:color="C9DDE2" w:sz="4"/>
          <w:left w:val="single" w:color="C9DDE2" w:sz="4"/>
          <w:bottom w:val="single" w:color="C9DDE2" w:sz="4"/>
          <w:right w:val="single" w:color="C9DDE2" w:sz="4"/>
          <w:insideH w:val="single" w:color="C9DDE2" w:sz="2"/>
          <w:insideV w:val="single" w:color="C9DDE2" w:sz="2"/>
        </w:tblBorders>
      </w:tblPr>
      <w:tblGrid>
        <w:gridCol w:w="2100"/>
        <w:gridCol w:w="6950"/>
      </w:tblGrid>
      <w:tr>
        <w:trPr>
          <w:tblHeader/>
        </w:trPr>
        <w:tc>
          <w:tcPr>
            <w:tcW w:type="dxa" w:w="2100"/>
            <w:shd w:color="0B3A5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Capa</w:t>
            </w:r>
          </w:p>
        </w:tc>
        <w:tc>
          <w:tcPr>
            <w:tcW w:type="dxa" w:w="6950"/>
            <w:shd w:color="0B3A5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Requisito de diseño</w:t>
            </w:r>
          </w:p>
        </w:tc>
      </w:tr>
      <w:tr>
        <w:tc>
          <w:tcPr>
            <w:tcW w:type="dxa" w:w="21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Luminaria</w:t>
            </w:r>
          </w:p>
        </w:tc>
        <w:tc>
          <w:tcPr>
            <w:tcW w:type="dxa" w:w="695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LED industrial certificable, IP66, IK08, comportamiento al fuego, vida útil &gt;50.000 h, 5.000 K, IRC &gt;75; óptica que evite deslumbramiento.</w:t>
            </w:r>
          </w:p>
        </w:tc>
      </w:tr>
      <w:tr>
        <w:tc>
          <w:tcPr>
            <w:tcW w:type="dxa" w:w="21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Fotometría</w:t>
            </w:r>
          </w:p>
        </w:tc>
        <w:tc>
          <w:tcPr>
            <w:tcW w:type="dxa" w:w="695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Cálculo por ruta de evacuación: 2 lux en suelo en RFIG; 5 lux en salas, galerías y salidas. Mantener factor de envejecimiento.</w:t>
            </w:r>
          </w:p>
        </w:tc>
      </w:tr>
      <w:tr>
        <w:tc>
          <w:tcPr>
            <w:tcW w:type="dxa" w:w="21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Energía</w:t>
            </w:r>
          </w:p>
        </w:tc>
        <w:tc>
          <w:tcPr>
            <w:tcW w:type="dxa" w:w="695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Doble alimentación/SAI/grupo o autónomas cuando corresponda; autonomía ≥90 min en RFIG. Selectividad y supervisión de circuitos.</w:t>
            </w:r>
          </w:p>
        </w:tc>
      </w:tr>
      <w:tr>
        <w:tc>
          <w:tcPr>
            <w:tcW w:type="dxa" w:w="21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Control</w:t>
            </w:r>
          </w:p>
        </w:tc>
        <w:tc>
          <w:tcPr>
            <w:tcW w:type="dxa" w:w="695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Encendido local y remoto por sectores; retorno de estado, alarma de fallo y modo de emergencia. Protocolos industriales segregados de la red corporativa.</w:t>
            </w:r>
          </w:p>
        </w:tc>
      </w:tr>
      <w:tr>
        <w:tc>
          <w:tcPr>
            <w:tcW w:type="dxa" w:w="21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Evacuación</w:t>
            </w:r>
          </w:p>
        </w:tc>
        <w:tc>
          <w:tcPr>
            <w:tcW w:type="dxa" w:w="695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Luz lineal de guiado + señalización conforme a proyecto + identificación de salidas; coordinación con pasamanos, puertas, balizamiento y megafonía.</w:t>
            </w:r>
          </w:p>
        </w:tc>
      </w:tr>
      <w:tr>
        <w:tc>
          <w:tcPr>
            <w:tcW w:type="dxa" w:w="21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Entrega</w:t>
            </w:r>
          </w:p>
        </w:tc>
        <w:tc>
          <w:tcPr>
            <w:tcW w:type="dxa" w:w="695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Pruebas FAT/SAT, medida in situ, manuales, inventario, formación, plan de repuestos y mantenimiento.</w:t>
            </w:r>
          </w:p>
        </w:tc>
      </w:tr>
    </w:tbl>
    <w:p>
      <w:pPr>
        <w:pStyle w:val="Heading2"/>
        <w:keepNext/>
        <w:spacing w:after="120" w:before="270"/>
      </w:pPr>
      <w:r>
        <w:t xml:space="preserve">Conectividad: qué sí y qué no prometer</w:t>
      </w:r>
      <w:r>
        <w:rPr>
          <w:rFonts w:ascii="Aptos" w:cs="Aptos" w:eastAsia="Aptos" w:hAnsi="Aptos"/>
          <w:b/>
          <w:bCs/>
          <w:color w:val="007C83"/>
          <w:sz w:val="27"/>
          <w:szCs w:val="27"/>
        </w:rPr>
        <w:t xml:space="preserve">Conectividad: qué sí y qué no prometer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t xml:space="preserve">Sí: telemando de encendido, supervisión de circuitos, alarmas, estado de fuentes/SAI, reporte de pruebas, contadores y diagnóstico.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t xml:space="preserve">Sí: integración mediante interfaz acordada con SCADA/COMMIT/BMS, con arquitectura cibersegura y protocolos aprobados por el gestor.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t xml:space="preserve">No: depender de plataforma cloud o red IP para que funcione la función de seguridad. La lógica local y la alimentación de emergencia deben ser autónomas.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t xml:space="preserve">No: prometer ahorro fijo sin perfil de encendido, arquitectura eléctrica y horas de operación del activo.</w:t>
      </w:r>
    </w:p>
    <w:p>
      <w:pPr>
        <w:pStyle w:val="Heading1"/>
        <w:keepNext/>
        <w:spacing w:after="120" w:before="270"/>
      </w:pPr>
      <w:r>
        <w:t xml:space="preserve">8. Tamaño de oportunidad y priorización comercial</w:t>
      </w:r>
      <w:r>
        <w:rPr>
          <w:rFonts w:ascii="Aptos" w:cs="Aptos" w:eastAsia="Aptos" w:hAnsi="Aptos"/>
          <w:b/>
          <w:bCs/>
          <w:color w:val="0B3A5B"/>
          <w:sz w:val="32"/>
          <w:szCs w:val="32"/>
        </w:rPr>
        <w:t xml:space="preserve">8. Tamaño de oportunidad y priorización comercial</w:t>
      </w:r>
    </w:p>
    <w:p>
      <w:pPr>
        <w:spacing w:after="130" w:before="0" w:line="276"/>
      </w:pPr>
      <w:r>
        <w:rPr>
          <w:rFonts w:ascii="Aptos" w:cs="Aptos" w:eastAsia="Aptos" w:hAnsi="Aptos"/>
          <w:color w:val="20323D"/>
          <w:sz w:val="18"/>
          <w:szCs w:val="18"/>
        </w:rPr>
        <w:t xml:space="preserve">No se recomienda publicar una cifra nacional de TAM en euros hasta obtener un inventario verificable. Los km por CCAA no están disponibles de manera homogénea y la inversión por km depende radicalmente de: número de tubos/vías, salidas, galerías, tecnología heredada, alimentación, cableado, obra civil y ventana de corte.</w:t>
      </w:r>
    </w:p>
    <w:tbl>
      <w:tblPr>
        <w:tblW w:type="dxa" w:w="9806"/>
        <w:tblBorders>
          <w:top w:val="single" w:color="C9DDE2" w:sz="4"/>
          <w:left w:val="single" w:color="C9DDE2" w:sz="4"/>
          <w:bottom w:val="single" w:color="C9DDE2" w:sz="4"/>
          <w:right w:val="single" w:color="C9DDE2" w:sz="4"/>
          <w:insideH w:val="single" w:color="C9DDE2" w:sz="2"/>
          <w:insideV w:val="single" w:color="C9DDE2" w:sz="2"/>
        </w:tblBorders>
      </w:tblPr>
      <w:tblGrid>
        <w:gridCol w:w="1400"/>
        <w:gridCol w:w="2900"/>
        <w:gridCol w:w="3500"/>
        <w:gridCol w:w="2250"/>
      </w:tblGrid>
      <w:tr>
        <w:trPr>
          <w:tblHeader/>
        </w:trPr>
        <w:tc>
          <w:tcPr>
            <w:tcW w:type="dxa" w:w="1400"/>
            <w:shd w:color="0B3A5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Nivel</w:t>
            </w:r>
          </w:p>
        </w:tc>
        <w:tc>
          <w:tcPr>
            <w:tcW w:type="dxa" w:w="2900"/>
            <w:shd w:color="0B3A5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Objetivo</w:t>
            </w:r>
          </w:p>
        </w:tc>
        <w:tc>
          <w:tcPr>
            <w:tcW w:type="dxa" w:w="3500"/>
            <w:shd w:color="0B3A5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Oferta de entrada</w:t>
            </w:r>
          </w:p>
        </w:tc>
        <w:tc>
          <w:tcPr>
            <w:tcW w:type="dxa" w:w="2250"/>
            <w:shd w:color="0B3A5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Resultado esperado</w:t>
            </w:r>
          </w:p>
        </w:tc>
      </w:tr>
      <w:tr>
        <w:tc>
          <w:tcPr>
            <w:tcW w:type="dxa" w:w="14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A · 0–6 meses</w:t>
            </w:r>
          </w:p>
        </w:tc>
        <w:tc>
          <w:tcPr>
            <w:tcW w:type="dxa" w:w="29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ADIF/ADIF AV, Metro Madrid, TMB, FGV, Metro Bilbao, AOPJA.</w:t>
            </w:r>
          </w:p>
        </w:tc>
        <w:tc>
          <w:tcPr>
            <w:tcW w:type="dxa" w:w="35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Auditoría de obsolescencia y cumplimiento; piloto de 100–300 m o galería.</w:t>
            </w:r>
          </w:p>
        </w:tc>
        <w:tc>
          <w:tcPr>
            <w:tcW w:type="dxa" w:w="225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Especificación, homologación y referencia local.</w:t>
            </w:r>
          </w:p>
        </w:tc>
      </w:tr>
      <w:tr>
        <w:tc>
          <w:tcPr>
            <w:tcW w:type="dxa" w:w="14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B · 6–18 meses</w:t>
            </w:r>
          </w:p>
        </w:tc>
        <w:tc>
          <w:tcPr>
            <w:tcW w:type="dxa" w:w="29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Contratistas de mantenimiento de túneles y proyectos de renovación de línea.</w:t>
            </w:r>
          </w:p>
        </w:tc>
        <w:tc>
          <w:tcPr>
            <w:tcW w:type="dxa" w:w="35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Retrofit por sectores, suministro de luminaria + control + pruebas.</w:t>
            </w:r>
          </w:p>
        </w:tc>
        <w:tc>
          <w:tcPr>
            <w:tcW w:type="dxa" w:w="225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Pedido marco / participación como subcontratista cualificado.</w:t>
            </w:r>
          </w:p>
        </w:tc>
      </w:tr>
      <w:tr>
        <w:tc>
          <w:tcPr>
            <w:tcW w:type="dxa" w:w="14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C · 18–36 meses</w:t>
            </w:r>
          </w:p>
        </w:tc>
        <w:tc>
          <w:tcPr>
            <w:tcW w:type="dxa" w:w="29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Programas de renovación integral y nuevas ampliaciones.</w:t>
            </w:r>
          </w:p>
        </w:tc>
        <w:tc>
          <w:tcPr>
            <w:tcW w:type="dxa" w:w="35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Diseño–suministro–puesta en marcha y O&amp;M digital.</w:t>
            </w:r>
          </w:p>
        </w:tc>
        <w:tc>
          <w:tcPr>
            <w:tcW w:type="dxa" w:w="225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Recurrente de mantenimiento y actualización.</w:t>
            </w:r>
          </w:p>
        </w:tc>
      </w:tr>
    </w:tbl>
    <w:p>
      <w:pPr>
        <w:pStyle w:val="Heading2"/>
        <w:keepNext/>
        <w:spacing w:after="120" w:before="270"/>
      </w:pPr>
      <w:r>
        <w:t xml:space="preserve">Modelo económico de referencia</w:t>
      </w:r>
      <w:r>
        <w:rPr>
          <w:rFonts w:ascii="Aptos" w:cs="Aptos" w:eastAsia="Aptos" w:hAnsi="Aptos"/>
          <w:b/>
          <w:bCs/>
          <w:color w:val="007C83"/>
          <w:sz w:val="27"/>
          <w:szCs w:val="27"/>
        </w:rPr>
        <w:t xml:space="preserve">Modelo económico de referencia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t xml:space="preserve">Benchmark observado: 6,5 M€ / 10.495 puntos = ~619 €/punto, pero no es tarifa de producto; el contrato incluye suministro, instalación, logística, ingeniería y condiciones ferroviarias. [6]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t xml:space="preserve">La densidad y coste real deben calcularse por activo tras visita técnica. Una solución de pasamanos lineal puede cotizarse por metro; luminarias/salas por punto; control y alimentación por cuadro/sector.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t xml:space="preserve">Construir caso de negocio con tres columnas: CAPEX evitado o diferido, OPEX (visitas, repuestos, baterías), riesgo/compliance (disponibilidad y prueba).</w:t>
      </w:r>
    </w:p>
    <w:p>
      <w:pPr>
        <w:pStyle w:val="Heading1"/>
        <w:keepNext/>
        <w:spacing w:after="120" w:before="270"/>
      </w:pPr>
      <w:r>
        <w:t xml:space="preserve">9. Plan de acción de 90 días</w:t>
      </w:r>
      <w:r>
        <w:rPr>
          <w:rFonts w:ascii="Aptos" w:cs="Aptos" w:eastAsia="Aptos" w:hAnsi="Aptos"/>
          <w:b/>
          <w:bCs/>
          <w:color w:val="0B3A5B"/>
          <w:sz w:val="32"/>
          <w:szCs w:val="32"/>
        </w:rPr>
        <w:t xml:space="preserve">9. Plan de acción de 90 días</w:t>
      </w:r>
    </w:p>
    <w:tbl>
      <w:tblPr>
        <w:tblW w:type="dxa" w:w="9806"/>
        <w:tblBorders>
          <w:top w:val="single" w:color="C9DDE2" w:sz="4"/>
          <w:left w:val="single" w:color="C9DDE2" w:sz="4"/>
          <w:bottom w:val="single" w:color="C9DDE2" w:sz="4"/>
          <w:right w:val="single" w:color="C9DDE2" w:sz="4"/>
          <w:insideH w:val="single" w:color="C9DDE2" w:sz="2"/>
          <w:insideV w:val="single" w:color="C9DDE2" w:sz="2"/>
        </w:tblBorders>
      </w:tblPr>
      <w:tblGrid>
        <w:gridCol w:w="1100"/>
        <w:gridCol w:w="4700"/>
        <w:gridCol w:w="4250"/>
      </w:tblGrid>
      <w:tr>
        <w:trPr>
          <w:tblHeader/>
        </w:trPr>
        <w:tc>
          <w:tcPr>
            <w:tcW w:type="dxa" w:w="1100"/>
            <w:shd w:color="0B3A5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Semana</w:t>
            </w:r>
          </w:p>
        </w:tc>
        <w:tc>
          <w:tcPr>
            <w:tcW w:type="dxa" w:w="4700"/>
            <w:shd w:color="0B3A5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Acción</w:t>
            </w:r>
          </w:p>
        </w:tc>
        <w:tc>
          <w:tcPr>
            <w:tcW w:type="dxa" w:w="4250"/>
            <w:shd w:color="0B3A5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Entregable</w:t>
            </w:r>
          </w:p>
        </w:tc>
      </w:tr>
      <w:tr>
        <w:tc>
          <w:tcPr>
            <w:tcW w:type="dxa" w:w="11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1–2</w:t>
            </w:r>
          </w:p>
        </w:tc>
        <w:tc>
          <w:tcPr>
            <w:tcW w:type="dxa" w:w="47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Definir catálogo Rail Tunnel Safety: dos soluciones lineales, una de sala técnica, armario/control y opciones de alimentación.</w:t>
            </w:r>
          </w:p>
        </w:tc>
        <w:tc>
          <w:tcPr>
            <w:tcW w:type="dxa" w:w="425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Ficha técnica con matriz IFI/ETI y declaración de límites.</w:t>
            </w:r>
          </w:p>
        </w:tc>
      </w:tr>
      <w:tr>
        <w:tc>
          <w:tcPr>
            <w:tcW w:type="dxa" w:w="11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2–4</w:t>
            </w:r>
          </w:p>
        </w:tc>
        <w:tc>
          <w:tcPr>
            <w:tcW w:type="dxa" w:w="47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Crear lista de 30 activos y compradores; separar ADIF/ADIF AV, metros y canales integradores.</w:t>
            </w:r>
          </w:p>
        </w:tc>
        <w:tc>
          <w:tcPr>
            <w:tcW w:type="dxa" w:w="425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CRM por CCAA, responsable, contrato vigente, fecha de renovación y contacto técnico.</w:t>
            </w:r>
          </w:p>
        </w:tc>
      </w:tr>
      <w:tr>
        <w:tc>
          <w:tcPr>
            <w:tcW w:type="dxa" w:w="11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3–6</w:t>
            </w:r>
          </w:p>
        </w:tc>
        <w:tc>
          <w:tcPr>
            <w:tcW w:type="dxa" w:w="47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Preparar auditoría de 1 día: inventario, medición lux, estado de cuadros/baterías/cables, telemando y riesgo.</w:t>
            </w:r>
          </w:p>
        </w:tc>
        <w:tc>
          <w:tcPr>
            <w:tcW w:type="dxa" w:w="425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Informe de brechas con presupuesto por fases.</w:t>
            </w:r>
          </w:p>
        </w:tc>
      </w:tr>
      <w:tr>
        <w:tc>
          <w:tcPr>
            <w:tcW w:type="dxa" w:w="11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5–8</w:t>
            </w:r>
          </w:p>
        </w:tc>
        <w:tc>
          <w:tcPr>
            <w:tcW w:type="dxa" w:w="470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Contactar ingenierías y mantenedores de los seis lotes ADIF; solicitar reuniones de prescripción, no solo de precio.</w:t>
            </w:r>
          </w:p>
        </w:tc>
        <w:tc>
          <w:tcPr>
            <w:tcW w:type="dxa" w:w="4250"/>
            <w:shd w:color="F5F8F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Dos alianzas de integración y una visita a activo.</w:t>
            </w:r>
          </w:p>
        </w:tc>
      </w:tr>
      <w:tr>
        <w:tc>
          <w:tcPr>
            <w:tcW w:type="dxa" w:w="11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7–12</w:t>
            </w:r>
          </w:p>
        </w:tc>
        <w:tc>
          <w:tcPr>
            <w:tcW w:type="dxa" w:w="470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Proponer piloto en corredor o metro: medición antes/después, prueba de autonomía y retorno de estado.</w:t>
            </w:r>
          </w:p>
        </w:tc>
        <w:tc>
          <w:tcPr>
            <w:tcW w:type="dxa" w:w="4250"/>
            <w:shd w:color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color w:val="20323D"/>
                <w:sz w:val="16"/>
                <w:szCs w:val="16"/>
              </w:rPr>
              <w:t xml:space="preserve">Caso de éxito español y expediente de homologación.</w:t>
            </w:r>
          </w:p>
        </w:tc>
      </w:tr>
    </w:tbl>
    <w:p>
      <w:pPr>
        <w:pStyle w:val="Heading2"/>
        <w:keepNext/>
        <w:spacing w:after="120" w:before="270"/>
      </w:pPr>
      <w:r>
        <w:t xml:space="preserve">Riesgos a gestionar</w:t>
      </w:r>
      <w:r>
        <w:rPr>
          <w:rFonts w:ascii="Aptos" w:cs="Aptos" w:eastAsia="Aptos" w:hAnsi="Aptos"/>
          <w:b/>
          <w:bCs/>
          <w:color w:val="007C83"/>
          <w:sz w:val="27"/>
          <w:szCs w:val="27"/>
        </w:rPr>
        <w:t xml:space="preserve">Riesgos a gestionar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t xml:space="preserve">Tiempos largos de homologación y acceso ferroviario.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t xml:space="preserve">Alcance “luminaria” absorbido dentro de grandes contratos de seguridad/obra civil.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t xml:space="preserve">Presión de precio en licitaciones; responder con coste de ciclo de vida y reducción de batería/mantenimiento.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t xml:space="preserve">Interoperabilidad, compatibilidad electromagnética, reacción al fuego y ciberseguridad; validar en fase de ingeniería.</w:t>
      </w:r>
    </w:p>
    <w:p>
      <w:pPr>
        <w:pStyle w:val="Heading1"/>
        <w:keepNext/>
        <w:pageBreakBefore/>
        <w:spacing w:after="120" w:before="270"/>
      </w:pPr>
      <w:r>
        <w:t xml:space="preserve">10. Fuentes y trazabilidad</w:t>
      </w:r>
      <w:r>
        <w:rPr>
          <w:rFonts w:ascii="Aptos" w:cs="Aptos" w:eastAsia="Aptos" w:hAnsi="Aptos"/>
          <w:b/>
          <w:bCs/>
          <w:color w:val="0B3A5B"/>
          <w:sz w:val="32"/>
          <w:szCs w:val="32"/>
        </w:rPr>
        <w:t xml:space="preserve">10. Fuentes y trazabilidad</w:t>
      </w:r>
    </w:p>
    <w:p>
      <w:pPr>
        <w:spacing w:after="130" w:before="0" w:line="276"/>
      </w:pPr>
      <w:r>
        <w:rPr>
          <w:rFonts w:ascii="Aptos" w:cs="Aptos" w:eastAsia="Aptos" w:hAnsi="Aptos"/>
          <w:color w:val="20323D"/>
          <w:sz w:val="17"/>
          <w:szCs w:val="17"/>
        </w:rPr>
        <w:t xml:space="preserve">Fuentes primarias o institucionales siempre que existen. Las fuentes sectoriales se usan solo para detalles de licitación y casos de mercado que requieren comprobación en pliego antes de ofertar.</w:t>
      </w:r>
    </w:p>
    <w:p>
      <w:pPr>
        <w:spacing w:after="70" w:before="0" w:line="220"/>
      </w:pPr>
      <w:r>
        <w:rPr>
          <w:rFonts w:ascii="Aptos" w:cs="Aptos" w:eastAsia="Aptos" w:hAnsi="Aptos"/>
          <w:b/>
          <w:bCs/>
          <w:color w:val="0B3A5B"/>
          <w:sz w:val="16"/>
          <w:szCs w:val="16"/>
        </w:rPr>
        <w:t xml:space="preserve">[1] </w:t>
      </w:r>
      <w:r>
        <w:rPr>
          <w:rFonts w:ascii="Aptos" w:cs="Aptos" w:eastAsia="Aptos" w:hAnsi="Aptos"/>
          <w:color w:val="20323D"/>
          <w:sz w:val="16"/>
          <w:szCs w:val="16"/>
        </w:rPr>
        <w:t xml:space="preserve">BOE. Orden TMA/135/2023, IFI: apartado 4.1.4.9.9 Alumbrado de emergencia; requisitos técnicos, autonomía, control y señalización. </w:t>
      </w:r>
      <w:r>
        <w:rPr>
          <w:rFonts w:ascii="Aptos" w:cs="Aptos" w:eastAsia="Aptos" w:hAnsi="Aptos"/>
          <w:color w:val="0563C1"/>
          <w:sz w:val="15"/>
          <w:szCs w:val="15"/>
        </w:rPr>
        <w:t xml:space="preserve">https://www.boe.es/buscar/doc.php?id=BOE-A-2023-4324&amp;lang=es</w:t>
      </w:r>
    </w:p>
    <w:p>
      <w:pPr>
        <w:spacing w:after="70" w:before="0" w:line="220"/>
      </w:pPr>
      <w:r>
        <w:rPr>
          <w:rFonts w:ascii="Aptos" w:cs="Aptos" w:eastAsia="Aptos" w:hAnsi="Aptos"/>
          <w:b/>
          <w:bCs/>
          <w:color w:val="0B3A5B"/>
          <w:sz w:val="16"/>
          <w:szCs w:val="16"/>
        </w:rPr>
        <w:t xml:space="preserve">[2] </w:t>
      </w:r>
      <w:r>
        <w:rPr>
          <w:rFonts w:ascii="Aptos" w:cs="Aptos" w:eastAsia="Aptos" w:hAnsi="Aptos"/>
          <w:color w:val="20323D"/>
          <w:sz w:val="16"/>
          <w:szCs w:val="16"/>
        </w:rPr>
        <w:t xml:space="preserve">EUR-Lex. Reglamento (UE) 1303/2014, ETI de seguridad en túneles ferroviarios. </w:t>
      </w:r>
      <w:r>
        <w:rPr>
          <w:rFonts w:ascii="Aptos" w:cs="Aptos" w:eastAsia="Aptos" w:hAnsi="Aptos"/>
          <w:color w:val="0563C1"/>
          <w:sz w:val="15"/>
          <w:szCs w:val="15"/>
        </w:rPr>
        <w:t xml:space="preserve">https://eur-lex.europa.eu/legal-content/ES/ALL/?uri=CELEX:02014R1303-20240129</w:t>
      </w:r>
    </w:p>
    <w:p>
      <w:pPr>
        <w:spacing w:after="70" w:before="0" w:line="220"/>
      </w:pPr>
      <w:r>
        <w:rPr>
          <w:rFonts w:ascii="Aptos" w:cs="Aptos" w:eastAsia="Aptos" w:hAnsi="Aptos"/>
          <w:b/>
          <w:bCs/>
          <w:color w:val="0B3A5B"/>
          <w:sz w:val="16"/>
          <w:szCs w:val="16"/>
        </w:rPr>
        <w:t xml:space="preserve">[3] </w:t>
      </w:r>
      <w:r>
        <w:rPr>
          <w:rFonts w:ascii="Aptos" w:cs="Aptos" w:eastAsia="Aptos" w:hAnsi="Aptos"/>
          <w:color w:val="20323D"/>
          <w:sz w:val="16"/>
          <w:szCs w:val="16"/>
        </w:rPr>
        <w:t xml:space="preserve">ADIF. NAG 2414, Norma ADIF General Inventario de Túneles Ferroviarios. </w:t>
      </w:r>
      <w:r>
        <w:rPr>
          <w:rFonts w:ascii="Aptos" w:cs="Aptos" w:eastAsia="Aptos" w:hAnsi="Aptos"/>
          <w:color w:val="0563C1"/>
          <w:sz w:val="15"/>
          <w:szCs w:val="15"/>
        </w:rPr>
        <w:t xml:space="preserve">https://www.adif.es/documents/20124/25515389/NAG2414_ED1_FC1.pdf/4a087ff5-f7ec-d792-78c1-d710d44a847b</w:t>
      </w:r>
    </w:p>
    <w:p>
      <w:pPr>
        <w:spacing w:after="70" w:before="0" w:line="220"/>
      </w:pPr>
      <w:r>
        <w:rPr>
          <w:rFonts w:ascii="Aptos" w:cs="Aptos" w:eastAsia="Aptos" w:hAnsi="Aptos"/>
          <w:b/>
          <w:bCs/>
          <w:color w:val="0B3A5B"/>
          <w:sz w:val="16"/>
          <w:szCs w:val="16"/>
        </w:rPr>
        <w:t xml:space="preserve">[4] </w:t>
      </w:r>
      <w:r>
        <w:rPr>
          <w:rFonts w:ascii="Aptos" w:cs="Aptos" w:eastAsia="Aptos" w:hAnsi="Aptos"/>
          <w:color w:val="20323D"/>
          <w:sz w:val="16"/>
          <w:szCs w:val="16"/>
        </w:rPr>
        <w:t xml:space="preserve">Pliego ADIF de mantenimiento de túneles RFIG: distribución de túneles por corredores y antigüedad de red convencional/ancho métrico. </w:t>
      </w:r>
      <w:r>
        <w:rPr>
          <w:rFonts w:ascii="Aptos" w:cs="Aptos" w:eastAsia="Aptos" w:hAnsi="Aptos"/>
          <w:color w:val="0563C1"/>
          <w:sz w:val="15"/>
          <w:szCs w:val="15"/>
        </w:rPr>
        <w:t xml:space="preserve">https://contrataciondelestado.es/wps/wcm/connect/PLACE_es/Site/area/docAccCmpnt?DocumentIdParam=3f704cc7-d1fd-46d2-9340-d47a71a201ec&amp;cmpntname=GetDocumentsById&amp;source=library&amp;srv=cmpnt</w:t>
      </w:r>
    </w:p>
    <w:p>
      <w:pPr>
        <w:spacing w:after="70" w:before="0" w:line="220"/>
      </w:pPr>
      <w:r>
        <w:rPr>
          <w:rFonts w:ascii="Aptos" w:cs="Aptos" w:eastAsia="Aptos" w:hAnsi="Aptos"/>
          <w:b/>
          <w:bCs/>
          <w:color w:val="0B3A5B"/>
          <w:sz w:val="16"/>
          <w:szCs w:val="16"/>
        </w:rPr>
        <w:t xml:space="preserve">[5] </w:t>
      </w:r>
      <w:r>
        <w:rPr>
          <w:rFonts w:ascii="Aptos" w:cs="Aptos" w:eastAsia="Aptos" w:hAnsi="Aptos"/>
          <w:color w:val="20323D"/>
          <w:sz w:val="16"/>
          <w:szCs w:val="16"/>
        </w:rPr>
        <w:t xml:space="preserve">BOE. Licitación ADIF 2025, gestión integral instalaciones de protección y seguridad en túneles, seis lotes, 9,64 M€ estimados. </w:t>
      </w:r>
      <w:r>
        <w:rPr>
          <w:rFonts w:ascii="Aptos" w:cs="Aptos" w:eastAsia="Aptos" w:hAnsi="Aptos"/>
          <w:color w:val="0563C1"/>
          <w:sz w:val="15"/>
          <w:szCs w:val="15"/>
        </w:rPr>
        <w:t xml:space="preserve">https://www.boe.es/diario_boe/txt.php?id=BOE-B-2025-2702&amp;lang=es</w:t>
      </w:r>
    </w:p>
    <w:p>
      <w:pPr>
        <w:spacing w:after="70" w:before="0" w:line="220"/>
      </w:pPr>
      <w:r>
        <w:rPr>
          <w:rFonts w:ascii="Aptos" w:cs="Aptos" w:eastAsia="Aptos" w:hAnsi="Aptos"/>
          <w:b/>
          <w:bCs/>
          <w:color w:val="0B3A5B"/>
          <w:sz w:val="16"/>
          <w:szCs w:val="16"/>
        </w:rPr>
        <w:t xml:space="preserve">[6] </w:t>
      </w:r>
      <w:r>
        <w:rPr>
          <w:rFonts w:ascii="Aptos" w:cs="Aptos" w:eastAsia="Aptos" w:hAnsi="Aptos"/>
          <w:color w:val="20323D"/>
          <w:sz w:val="16"/>
          <w:szCs w:val="16"/>
        </w:rPr>
        <w:t xml:space="preserve">Smart Lighting. Licitación ADIF AV 2026: Guadarrama y San Pedro, 10.495 puntos de luz y &gt;6,5 M€. Fuente sectorial; validar con pliego. </w:t>
      </w:r>
      <w:r>
        <w:rPr>
          <w:rFonts w:ascii="Aptos" w:cs="Aptos" w:eastAsia="Aptos" w:hAnsi="Aptos"/>
          <w:color w:val="0563C1"/>
          <w:sz w:val="15"/>
          <w:szCs w:val="15"/>
        </w:rPr>
        <w:t xml:space="preserve">https://smart-lighting.es/adif-licita-renovacion-alumbrado-tuneles-de-guadarrama-san-pedro/</w:t>
      </w:r>
    </w:p>
    <w:p>
      <w:pPr>
        <w:spacing w:after="70" w:before="0" w:line="220"/>
      </w:pPr>
      <w:r>
        <w:rPr>
          <w:rFonts w:ascii="Aptos" w:cs="Aptos" w:eastAsia="Aptos" w:hAnsi="Aptos"/>
          <w:b/>
          <w:bCs/>
          <w:color w:val="0B3A5B"/>
          <w:sz w:val="16"/>
          <w:szCs w:val="16"/>
        </w:rPr>
        <w:t xml:space="preserve">[7] </w:t>
      </w:r>
      <w:r>
        <w:rPr>
          <w:rFonts w:ascii="Aptos" w:cs="Aptos" w:eastAsia="Aptos" w:hAnsi="Aptos"/>
          <w:color w:val="20323D"/>
          <w:sz w:val="16"/>
          <w:szCs w:val="16"/>
        </w:rPr>
        <w:t xml:space="preserve">CRTM / Comunidad de Madrid. Renovación alumbrado túnel L5: 5.400 luminarias, 930 cuadros y telemando. </w:t>
      </w:r>
      <w:r>
        <w:rPr>
          <w:rFonts w:ascii="Aptos" w:cs="Aptos" w:eastAsia="Aptos" w:hAnsi="Aptos"/>
          <w:color w:val="0563C1"/>
          <w:sz w:val="15"/>
          <w:szCs w:val="15"/>
        </w:rPr>
        <w:t xml:space="preserve">https://www.crtm.es/comunicacion/sala-de-prensa/noticias/archivo/27052017-la-comunidad-invertira-2-5-millones-de-euros-en-renovar-el-alumbrado-del-tunel-de-la-linea-5-de-metro/</w:t>
      </w:r>
    </w:p>
    <w:p>
      <w:pPr>
        <w:spacing w:after="70" w:before="0" w:line="220"/>
      </w:pPr>
      <w:r>
        <w:rPr>
          <w:rFonts w:ascii="Aptos" w:cs="Aptos" w:eastAsia="Aptos" w:hAnsi="Aptos"/>
          <w:b/>
          <w:bCs/>
          <w:color w:val="0B3A5B"/>
          <w:sz w:val="16"/>
          <w:szCs w:val="16"/>
        </w:rPr>
        <w:t xml:space="preserve">[8] </w:t>
      </w:r>
      <w:r>
        <w:rPr>
          <w:rFonts w:ascii="Aptos" w:cs="Aptos" w:eastAsia="Aptos" w:hAnsi="Aptos"/>
          <w:color w:val="20323D"/>
          <w:sz w:val="16"/>
          <w:szCs w:val="16"/>
        </w:rPr>
        <w:t xml:space="preserve">Comunidad de Madrid. Metro: COMMIT y certificación ENS de sistemas digitales. </w:t>
      </w:r>
      <w:r>
        <w:rPr>
          <w:rFonts w:ascii="Aptos" w:cs="Aptos" w:eastAsia="Aptos" w:hAnsi="Aptos"/>
          <w:color w:val="0563C1"/>
          <w:sz w:val="15"/>
          <w:szCs w:val="15"/>
        </w:rPr>
        <w:t xml:space="preserve">https://www.comunidad.madrid/noticias/2025/12/24/metro-madrid-logra-certificacion-nacional-ciberseguridad-sistemas-digitales</w:t>
      </w:r>
    </w:p>
    <w:p>
      <w:pPr>
        <w:spacing w:after="70" w:before="0" w:line="220"/>
      </w:pPr>
      <w:r>
        <w:rPr>
          <w:rFonts w:ascii="Aptos" w:cs="Aptos" w:eastAsia="Aptos" w:hAnsi="Aptos"/>
          <w:b/>
          <w:bCs/>
          <w:color w:val="0B3A5B"/>
          <w:sz w:val="16"/>
          <w:szCs w:val="16"/>
        </w:rPr>
        <w:t xml:space="preserve">[9] </w:t>
      </w:r>
      <w:r>
        <w:rPr>
          <w:rFonts w:ascii="Aptos" w:cs="Aptos" w:eastAsia="Aptos" w:hAnsi="Aptos"/>
          <w:color w:val="20323D"/>
          <w:sz w:val="16"/>
          <w:szCs w:val="16"/>
        </w:rPr>
        <w:t xml:space="preserve">DSAF. Aplicación declarada: alumbrado de emergencia en túneles ferroviarios y carreteros. </w:t>
      </w:r>
      <w:r>
        <w:rPr>
          <w:rFonts w:ascii="Aptos" w:cs="Aptos" w:eastAsia="Aptos" w:hAnsi="Aptos"/>
          <w:color w:val="0563C1"/>
          <w:sz w:val="15"/>
          <w:szCs w:val="15"/>
        </w:rPr>
        <w:t xml:space="preserve">https://www.dsaf.es/</w:t>
      </w:r>
    </w:p>
    <w:p>
      <w:pPr>
        <w:spacing w:after="70" w:before="0" w:line="220"/>
      </w:pPr>
      <w:r>
        <w:rPr>
          <w:rFonts w:ascii="Aptos" w:cs="Aptos" w:eastAsia="Aptos" w:hAnsi="Aptos"/>
          <w:b/>
          <w:bCs/>
          <w:color w:val="0B3A5B"/>
          <w:sz w:val="16"/>
          <w:szCs w:val="16"/>
        </w:rPr>
        <w:t xml:space="preserve">[10] </w:t>
      </w:r>
      <w:r>
        <w:rPr>
          <w:rFonts w:ascii="Aptos" w:cs="Aptos" w:eastAsia="Aptos" w:hAnsi="Aptos"/>
          <w:color w:val="20323D"/>
          <w:sz w:val="16"/>
          <w:szCs w:val="16"/>
        </w:rPr>
        <w:t xml:space="preserve">Datos.gob.es / ADIF. Red de transporte ferroviario de ADIF (INSPIRE), versión julio de 2024. </w:t>
      </w:r>
      <w:r>
        <w:rPr>
          <w:rFonts w:ascii="Aptos" w:cs="Aptos" w:eastAsia="Aptos" w:hAnsi="Aptos"/>
          <w:color w:val="0563C1"/>
          <w:sz w:val="15"/>
          <w:szCs w:val="15"/>
        </w:rPr>
        <w:t xml:space="preserve">https://datos.gob.es/es/catalogo/e0dat0002-red-de-transporte-ferroviario-de-adif1</w:t>
      </w:r>
    </w:p>
    <w:p>
      <w:pPr>
        <w:spacing w:after="70" w:before="0" w:line="220"/>
      </w:pPr>
      <w:r>
        <w:rPr>
          <w:rFonts w:ascii="Aptos" w:cs="Aptos" w:eastAsia="Aptos" w:hAnsi="Aptos"/>
          <w:b/>
          <w:bCs/>
          <w:color w:val="0B3A5B"/>
          <w:sz w:val="16"/>
          <w:szCs w:val="16"/>
        </w:rPr>
        <w:t xml:space="preserve">[11] </w:t>
      </w:r>
      <w:r>
        <w:rPr>
          <w:rFonts w:ascii="Aptos" w:cs="Aptos" w:eastAsia="Aptos" w:hAnsi="Aptos"/>
          <w:color w:val="20323D"/>
          <w:sz w:val="16"/>
          <w:szCs w:val="16"/>
        </w:rPr>
        <w:t xml:space="preserve">Carandini. Caso de alumbrado lineal de emergencia en túnel Mitre (Barcelona) con ACISA. Mercado adyacente de túnel urbano. </w:t>
      </w:r>
      <w:r>
        <w:rPr>
          <w:rFonts w:ascii="Aptos" w:cs="Aptos" w:eastAsia="Aptos" w:hAnsi="Aptos"/>
          <w:color w:val="0563C1"/>
          <w:sz w:val="15"/>
          <w:szCs w:val="15"/>
        </w:rPr>
        <w:t xml:space="preserve">https://carandini.com/portfolio_page/alumbrado-lineal-de-emergencia-en-tunel-ronda-general-mitre-barcelona/</w:t>
      </w:r>
    </w:p>
    <w:p>
      <w:pPr>
        <w:spacing w:after="70" w:before="0" w:line="220"/>
      </w:pPr>
      <w:r>
        <w:rPr>
          <w:rFonts w:ascii="Aptos" w:cs="Aptos" w:eastAsia="Aptos" w:hAnsi="Aptos"/>
          <w:b/>
          <w:bCs/>
          <w:color w:val="0B3A5B"/>
          <w:sz w:val="16"/>
          <w:szCs w:val="16"/>
        </w:rPr>
        <w:t xml:space="preserve">[12] </w:t>
      </w:r>
      <w:r>
        <w:rPr>
          <w:rFonts w:ascii="Aptos" w:cs="Aptos" w:eastAsia="Aptos" w:hAnsi="Aptos"/>
          <w:color w:val="20323D"/>
          <w:sz w:val="16"/>
          <w:szCs w:val="16"/>
        </w:rPr>
        <w:t xml:space="preserve">ISC. Mantenimiento y actualización de iluminación de Metro Barcelona durante tres años. </w:t>
      </w:r>
      <w:r>
        <w:rPr>
          <w:rFonts w:ascii="Aptos" w:cs="Aptos" w:eastAsia="Aptos" w:hAnsi="Aptos"/>
          <w:color w:val="0563C1"/>
          <w:sz w:val="15"/>
          <w:szCs w:val="15"/>
        </w:rPr>
        <w:t xml:space="preserve">https://www.isc1987.com/2024/10/01/isc-se-encargara-del-mantenimiento-y-actualizacion-de-la-iluminacion-en-el-metro-de-barcelona-durante-los-proximos-3-anos/</w:t>
      </w:r>
    </w:p>
    <w:p>
      <w:pPr>
        <w:spacing w:after="70" w:before="0" w:line="220"/>
      </w:pPr>
      <w:r>
        <w:rPr>
          <w:rFonts w:ascii="Aptos" w:cs="Aptos" w:eastAsia="Aptos" w:hAnsi="Aptos"/>
          <w:b/>
          <w:bCs/>
          <w:color w:val="0B3A5B"/>
          <w:sz w:val="16"/>
          <w:szCs w:val="16"/>
        </w:rPr>
        <w:t xml:space="preserve">[13] </w:t>
      </w:r>
      <w:r>
        <w:rPr>
          <w:rFonts w:ascii="Aptos" w:cs="Aptos" w:eastAsia="Aptos" w:hAnsi="Aptos"/>
          <w:color w:val="20323D"/>
          <w:sz w:val="16"/>
          <w:szCs w:val="16"/>
        </w:rPr>
        <w:t xml:space="preserve">Cadena SER. C-5 Cercanías Madrid: paquete de 84,7 M€ con iluminación LED integrada y sistemas de seguridad. Fuente periodística; validar expediente. </w:t>
      </w:r>
      <w:r>
        <w:rPr>
          <w:rFonts w:ascii="Aptos" w:cs="Aptos" w:eastAsia="Aptos" w:hAnsi="Aptos"/>
          <w:color w:val="0563C1"/>
          <w:sz w:val="15"/>
          <w:szCs w:val="15"/>
        </w:rPr>
        <w:t xml:space="preserve">https://cadenaser.com/cmadrid/2026/05/27/el-gobierno-invertira-70-millones-en-renovar-la-senalizacion-de-la-c-5-en-humanes-fuenlabrada-y-leganes-ser-madrid-sur/</w:t>
      </w:r>
    </w:p>
    <w:p>
      <w:pPr>
        <w:spacing w:after="70" w:before="0" w:line="220"/>
      </w:pPr>
      <w:r>
        <w:rPr>
          <w:rFonts w:ascii="Aptos" w:cs="Aptos" w:eastAsia="Aptos" w:hAnsi="Aptos"/>
          <w:b/>
          <w:bCs/>
          <w:color w:val="0B3A5B"/>
          <w:sz w:val="16"/>
          <w:szCs w:val="16"/>
        </w:rPr>
        <w:t xml:space="preserve">[14] </w:t>
      </w:r>
      <w:r>
        <w:rPr>
          <w:rFonts w:ascii="Aptos" w:cs="Aptos" w:eastAsia="Aptos" w:hAnsi="Aptos"/>
          <w:color w:val="20323D"/>
          <w:sz w:val="16"/>
          <w:szCs w:val="16"/>
        </w:rPr>
        <w:t xml:space="preserve">TMB. Transporte en cifras: 125,4 km de red de Metro. </w:t>
      </w:r>
      <w:r>
        <w:rPr>
          <w:rFonts w:ascii="Aptos" w:cs="Aptos" w:eastAsia="Aptos" w:hAnsi="Aptos"/>
          <w:color w:val="0563C1"/>
          <w:sz w:val="15"/>
          <w:szCs w:val="15"/>
        </w:rPr>
        <w:t xml:space="preserve">https://transparencia.tmb.cat/es/web/tmb/conoce-tmb/informacion-corporativa/transporte-cifras</w:t>
      </w:r>
    </w:p>
    <w:p>
      <w:pPr>
        <w:spacing w:after="70" w:before="0" w:line="220"/>
      </w:pPr>
      <w:r>
        <w:rPr>
          <w:rFonts w:ascii="Aptos" w:cs="Aptos" w:eastAsia="Aptos" w:hAnsi="Aptos"/>
          <w:b/>
          <w:bCs/>
          <w:color w:val="0B3A5B"/>
          <w:sz w:val="16"/>
          <w:szCs w:val="16"/>
        </w:rPr>
        <w:t xml:space="preserve">[15] </w:t>
      </w:r>
      <w:r>
        <w:rPr>
          <w:rFonts w:ascii="Aptos" w:cs="Aptos" w:eastAsia="Aptos" w:hAnsi="Aptos"/>
          <w:color w:val="20323D"/>
          <w:sz w:val="16"/>
          <w:szCs w:val="16"/>
        </w:rPr>
        <w:t xml:space="preserve">FGV. Memoria de sostenibilidad: Metrovalencia 156,4 km de red y 26,6 km en túnel (dato de memoria localizado). </w:t>
      </w:r>
      <w:r>
        <w:rPr>
          <w:rFonts w:ascii="Aptos" w:cs="Aptos" w:eastAsia="Aptos" w:hAnsi="Aptos"/>
          <w:color w:val="0563C1"/>
          <w:sz w:val="15"/>
          <w:szCs w:val="15"/>
        </w:rPr>
        <w:t xml:space="preserve">https://www.fgv.es/wp-content/uploads/2020/01/MemoriaFGV_2018_v2_editable.pdf</w:t>
      </w:r>
    </w:p>
    <w:p>
      <w:pPr>
        <w:spacing w:after="70" w:before="0" w:line="220"/>
      </w:pPr>
      <w:r>
        <w:rPr>
          <w:rFonts w:ascii="Aptos" w:cs="Aptos" w:eastAsia="Aptos" w:hAnsi="Aptos"/>
          <w:b/>
          <w:bCs/>
          <w:color w:val="0B3A5B"/>
          <w:sz w:val="16"/>
          <w:szCs w:val="16"/>
        </w:rPr>
        <w:t xml:space="preserve">[16] </w:t>
      </w:r>
      <w:r>
        <w:rPr>
          <w:rFonts w:ascii="Aptos" w:cs="Aptos" w:eastAsia="Aptos" w:hAnsi="Aptos"/>
          <w:color w:val="20323D"/>
          <w:sz w:val="16"/>
          <w:szCs w:val="16"/>
        </w:rPr>
        <w:t xml:space="preserve">Metro Bilbao. Memoria 2023: 45,10 km de red y 26 estaciones soterradas. </w:t>
      </w:r>
      <w:r>
        <w:rPr>
          <w:rFonts w:ascii="Aptos" w:cs="Aptos" w:eastAsia="Aptos" w:hAnsi="Aptos"/>
          <w:color w:val="0563C1"/>
          <w:sz w:val="15"/>
          <w:szCs w:val="15"/>
        </w:rPr>
        <w:t xml:space="preserve">https://cms.metrobilbao.eus/sites/default/files/upload/img-6697ba23eba21.pdf</w:t>
      </w:r>
    </w:p>
    <w:p>
      <w:pPr>
        <w:spacing w:after="70" w:before="0" w:line="220"/>
      </w:pPr>
      <w:r>
        <w:rPr>
          <w:rFonts w:ascii="Aptos" w:cs="Aptos" w:eastAsia="Aptos" w:hAnsi="Aptos"/>
          <w:b/>
          <w:bCs/>
          <w:color w:val="0B3A5B"/>
          <w:sz w:val="16"/>
          <w:szCs w:val="16"/>
        </w:rPr>
        <w:t xml:space="preserve">[17] </w:t>
      </w:r>
      <w:r>
        <w:rPr>
          <w:rFonts w:ascii="Aptos" w:cs="Aptos" w:eastAsia="Aptos" w:hAnsi="Aptos"/>
          <w:color w:val="20323D"/>
          <w:sz w:val="16"/>
          <w:szCs w:val="16"/>
        </w:rPr>
        <w:t xml:space="preserve">Junta de Andalucía. Metro Sevilla: 11.100 m de túneles en línea 1. </w:t>
      </w:r>
      <w:r>
        <w:rPr>
          <w:rFonts w:ascii="Aptos" w:cs="Aptos" w:eastAsia="Aptos" w:hAnsi="Aptos"/>
          <w:color w:val="0563C1"/>
          <w:sz w:val="15"/>
          <w:szCs w:val="15"/>
        </w:rPr>
        <w:t xml:space="preserve">https://www.juntadeandalucia.es/html/especiales/especialmetro-sevilla/obra.html</w:t>
      </w:r>
    </w:p>
    <w:p>
      <w:pPr>
        <w:spacing w:after="70" w:before="0" w:line="220"/>
      </w:pPr>
      <w:r>
        <w:rPr>
          <w:rFonts w:ascii="Aptos" w:cs="Aptos" w:eastAsia="Aptos" w:hAnsi="Aptos"/>
          <w:b/>
          <w:bCs/>
          <w:color w:val="0B3A5B"/>
          <w:sz w:val="16"/>
          <w:szCs w:val="16"/>
        </w:rPr>
        <w:t xml:space="preserve">[18] </w:t>
      </w:r>
      <w:r>
        <w:rPr>
          <w:rFonts w:ascii="Aptos" w:cs="Aptos" w:eastAsia="Aptos" w:hAnsi="Aptos"/>
          <w:color w:val="20323D"/>
          <w:sz w:val="16"/>
          <w:szCs w:val="16"/>
        </w:rPr>
        <w:t xml:space="preserve">Junta de Andalucía. Metro Granada: 2,7 km de túneles. </w:t>
      </w:r>
      <w:r>
        <w:rPr>
          <w:rFonts w:ascii="Aptos" w:cs="Aptos" w:eastAsia="Aptos" w:hAnsi="Aptos"/>
          <w:color w:val="0563C1"/>
          <w:sz w:val="15"/>
          <w:szCs w:val="15"/>
        </w:rPr>
        <w:t xml:space="preserve">https://www.juntadeandalucia.es/organismos/fomentoarticulaciondelterritorioyvivienda/servicios/actualidad/noticias/detalle/161665.html</w:t>
      </w:r>
    </w:p>
    <w:p>
      <w:pPr>
        <w:spacing w:after="70" w:before="0" w:line="220"/>
      </w:pPr>
      <w:r>
        <w:rPr>
          <w:rFonts w:ascii="Aptos" w:cs="Aptos" w:eastAsia="Aptos" w:hAnsi="Aptos"/>
          <w:b/>
          <w:bCs/>
          <w:color w:val="0B3A5B"/>
          <w:sz w:val="16"/>
          <w:szCs w:val="16"/>
        </w:rPr>
        <w:t xml:space="preserve">[19] </w:t>
      </w:r>
      <w:r>
        <w:rPr>
          <w:rFonts w:ascii="Aptos" w:cs="Aptos" w:eastAsia="Aptos" w:hAnsi="Aptos"/>
          <w:color w:val="20323D"/>
          <w:sz w:val="16"/>
          <w:szCs w:val="16"/>
        </w:rPr>
        <w:t xml:space="preserve">Metro Málaga. Carta de servicios 2025: 13,6 km de red y 14 estaciones subterráneas. </w:t>
      </w:r>
      <w:r>
        <w:rPr>
          <w:rFonts w:ascii="Aptos" w:cs="Aptos" w:eastAsia="Aptos" w:hAnsi="Aptos"/>
          <w:color w:val="0563C1"/>
          <w:sz w:val="15"/>
          <w:szCs w:val="15"/>
        </w:rPr>
        <w:t xml:space="preserve">https://metromalaga.es/archivos/metromalaga-carta-servicios-2025.pdf</w:t>
      </w:r>
    </w:p>
    <w:p>
      <w:pPr>
        <w:spacing w:after="0" w:before="180" w:line="276"/>
      </w:pPr>
      <w:r>
        <w:rPr>
          <w:rFonts w:ascii="Aptos" w:cs="Aptos" w:eastAsia="Aptos" w:hAnsi="Aptos"/>
          <w:i/>
          <w:iCs/>
          <w:color w:val="5B6870"/>
          <w:sz w:val="17"/>
          <w:szCs w:val="17"/>
        </w:rPr>
        <w:t xml:space="preserve">Limitación de uso: este informe es una base comercial y técnica; antes de presentar una oferta deben verificarse el pliego vigente, la normativa interna del gestor, el inventario de activo, el alcance eléctrico y la homologación requerida.</w:t>
      </w:r>
    </w:p>
    <w:sectPr>
      <w:headerReference w:type="default" r:id="rId7"/>
      <w:footerReference w:type="default" r:id="rId8"/>
      <w:pgSz w:w="11906" w:h="16838" w:orient="portrait"/>
      <w:pgMar w:top="1100" w:right="1050" w:bottom="105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B6870"/>
        <w:sz w:val="13"/>
        <w:szCs w:val="13"/>
      </w:rPr>
      <w:t xml:space="preserve">Alumbrado de seguridad y emergencia en túneles · España 2026 · </w:t>
    </w:r>
    <w:r>
      <w:rPr>
        <w:color w:val="5B6870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DE2" w:sz="4"/>
      </w:pBdr>
      <w:jc w:val="right"/>
    </w:pPr>
    <w:r>
      <w:rPr>
        <w:rFonts w:ascii="Aptos" w:cs="Aptos" w:eastAsia="Aptos" w:hAnsi="Aptos"/>
        <w:b/>
        <w:bCs/>
        <w:color w:val="007C83"/>
        <w:sz w:val="14"/>
        <w:szCs w:val="14"/>
      </w:rPr>
      <w:t xml:space="preserve">SALVI · ESTUDIO DE MERCADO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  <w:lvl w:ilvl="1" w15:tentative="1">
      <w:start w:val="1"/>
      <w:numFmt w:val="bullet"/>
      <w:lvlText w:val="–"/>
      <w:lvlJc w:val="left"/>
      <w:pPr>
        <w:ind w:left="70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0323D"/>
        <w:sz w:val="20"/>
        <w:szCs w:val="20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70"/>
      <w:outlineLvl w:val="0"/>
    </w:pPr>
    <w:rPr>
      <w:rFonts w:ascii="Aptos Display" w:cs="Aptos Display" w:eastAsia="Aptos Display" w:hAnsi="Aptos Display"/>
      <w:b/>
      <w:bCs/>
      <w:color w:val="0B3A5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 Display" w:cs="Aptos Display" w:eastAsia="Aptos Display" w:hAnsi="Aptos Display"/>
      <w:b/>
      <w:bCs/>
      <w:color w:val="007C8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75" w:before="170"/>
      <w:outlineLvl w:val="2"/>
    </w:pPr>
    <w:rPr>
      <w:rFonts w:ascii="Aptos" w:cs="Aptos" w:eastAsia="Aptos" w:hAnsi="Aptos"/>
      <w:b/>
      <w:bCs/>
      <w:color w:val="007C8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Estudio de oportunidad – Alumbrado de seguridad y emergencia en túneles</dc:title>
  <dc:subject>Mercado español ferroviario y metropolitano</dc:subject>
  <dc:creator>SALVI</dc:creator>
  <cp:lastModifiedBy>Un-named</cp:lastModifiedBy>
  <cp:revision>1</cp:revision>
  <dcterms:created xsi:type="dcterms:W3CDTF">2026-07-31T10:24:49.054Z</dcterms:created>
  <dcterms:modified xsi:type="dcterms:W3CDTF">2026-07-31T10:24:49.060Z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