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color w:val="1A3A6B"/>
          <w:sz w:val="24"/>
        </w:rPr>
        <w:t>7. Control DALI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Protocolo de control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DALI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grupos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escenas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</w:tr>
    </w:tbl>
    <w:p>
      <w:pPr>
        <w:spacing w:before="160" w:after="80"/>
      </w:pPr>
      <w:r>
        <w:rPr>
          <w:b/>
          <w:color w:val="1A56B0"/>
          <w:sz w:val="21"/>
        </w:rPr>
        <w:t>Escenas de referencia y regulación continua</w:t>
      </w:r>
    </w:p>
    <w:p>
      <w:pPr>
        <w:spacing w:before="80" w:after="80"/>
        <w:pBdr>
          <w:bottom w:val="single" w:sz="8" w:space="1" w:color="1A56B0"/>
        </w:pBdr>
      </w:pPr>
    </w:p>
    <w:p>
      <w:pPr>
        <w:spacing w:after="100"/>
      </w:pPr>
      <w:r>
        <w:rPr>
          <w:b/>
          <w:color w:val="1A3A6B"/>
        </w:rPr>
        <w:t xml:space="preserve">Regulación adaptativa continua. </w:t>
      </w:r>
      <w:r>
        <w:rPr>
          <w:sz w:val="18"/>
        </w:rPr>
        <w:t>Las seis escenas de la tabla son anclas de operación, programación y puesta en marcha; no son las únicas posiciones que puede adoptar la instalación. El luminancímetro de acceso mide la luminancia exterior L20 y el controlador interpela la curva de regulación de cada grupo entre esas anclas, aplicando la consigna DALI correspondiente a cualquier condición intermedia dentro de los límites de diseño.</w:t>
      </w:r>
    </w:p>
    <w:p>
      <w:pPr>
        <w:spacing w:after="100"/>
      </w:pPr>
      <w:r>
        <w:rPr>
          <w:i/>
          <w:color w:val="666666"/>
          <w:sz w:val="16"/>
        </w:rPr>
        <w:t>Las escenas de noche normal y noche reducida se seleccionan conforme a la estrategia de explotación programada; la escena de emergencia permanece definida por el proyecto eléctrico y de seguridad específico.</w:t>
      </w:r>
    </w:p>
    <w:p>
      <w:pPr>
        <w:spacing w:before="160" w:after="80"/>
      </w:pPr>
      <w:r>
        <w:rPr>
          <w:b/>
          <w:color w:val="1A56B0"/>
          <w:sz w:val="21"/>
        </w:rPr>
        <w:t>Tabla de Regulación (grupos × escenas)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8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diseño</w:t>
              <w:br/>
              <w:t>(cd/m²)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Soleado</w:t>
              <w:br/>
              <w:t>L₂₀=1000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Normal</w:t>
              <w:br/>
              <w:t>L₂₀=700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Cubierto</w:t>
              <w:br/>
              <w:t>L₂₀=300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Crepuscular</w:t>
              <w:br/>
              <w:t>L₂₀=50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reducida</w:t>
              <w:br/>
              <w:t>L₂₀=0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normal</w:t>
              <w:br/>
              <w:t>L₂₀=0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? Permanente A?B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50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70%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5%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40%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REF-A-TH Umbral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50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70%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5%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40%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REF-A-TR1 Transici?n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50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70%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5%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40%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REF-B-TH Umbral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50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70%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5%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40%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REF-B-TR1 Transici?n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50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70%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5%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40%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</w:tr>
    </w:tbl>
    <w:p>
      <w:pPr>
        <w:spacing w:before="80"/>
      </w:pPr>
      <w:r>
        <w:rPr>
          <w:i/>
          <w:color w:val="666666"/>
          <w:sz w:val="16"/>
        </w:rPr>
        <w:t>CTH=Umbral · CTRn=Transición · CIN=Interior · CEX=Salida. Niveles DALI según IEC 62386 (curva logarítmica, rango 0–254).</w:t>
      </w:r>
    </w:p>
    <w:p>
      <w:pPr>
        <w:spacing w:before="40"/>
      </w:pPr>
      <w:r>
        <w:rPr>
          <w:color w:val="666666"/>
          <w:sz w:val="16"/>
        </w:rPr>
        <w:t>Emergencia: la escena de evacuación y el alumbrado de seguridad se verifican en el proyecto eléctrico específico; no se infieren de los niveles de regulación ordinaria.</w:t>
      </w:r>
    </w:p>
    <w:p>
      <w:pPr>
        <w:spacing w:before="160" w:after="80"/>
      </w:pPr>
      <w:r>
        <w:rPr>
          <w:b/>
          <w:color w:val="1A56B0"/>
          <w:sz w:val="21"/>
        </w:rPr>
        <w:t>Curvas de atenuación diurna por grupo DALI</w:t>
      </w:r>
    </w:p>
    <w:p>
      <w:pPr>
        <w:spacing w:before="80" w:after="80"/>
        <w:pBdr>
          <w:bottom w:val="single" w:sz="8" w:space="1" w:color="1A56B0"/>
        </w:pBdr>
      </w:pPr>
    </w:p>
    <w:p>
      <w:r>
        <w:rPr>
          <w:sz w:val="17"/>
        </w:rPr>
        <w:t>Cada curva representa la atenuación realmente programable frente a L20. Las líneas verticales identifican las cuatro escenas diurnas de referencia; las dos escenas nocturnas son consignas de explotación independientes y se recogen en la tabla anterior.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5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5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56B0"/>
          <w:sz w:val="21"/>
        </w:rPr>
        <w:t>Atenuación en las seis escenas de referencia</w:t>
      </w:r>
    </w:p>
    <w:p>
      <w:pPr>
        <w:spacing w:before="80" w:after="80"/>
        <w:pBdr>
          <w:bottom w:val="single" w:sz="8" w:space="1" w:color="1A56B0"/>
        </w:pBdr>
      </w:pPr>
    </w:p>
    <w:p>
      <w:r>
        <w:rPr>
          <w:sz w:val="17"/>
        </w:rPr>
        <w:t>Lectura directa de la matriz de consignas: permite contrastar, para cada grupo y boca, la progresión entre escenas diurnas y los dos regímenes nocturnos.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11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1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