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b/>
          <w:color w:val="1A56B0"/>
          <w:sz w:val="21"/>
        </w:rPr>
        <w:t>Vídeo de recorrido y verificación visual</w:t>
      </w:r>
    </w:p>
    <w:p>
      <w:pPr>
        <w:spacing w:before="80" w:after="80"/>
        <w:pBdr>
          <w:bottom w:val="single" w:sz="8" w:space="1" w:color="1A56B0"/>
        </w:pBdr>
      </w:pPr>
    </w:p>
    <w:p>
      <w:r>
        <w:rPr>
          <w:sz w:val="17"/>
        </w:rPr>
        <w:t>La ventana incorpora el acceso al vídeo de apoyo alojado en la plataforma del proyecto. El QR mantiene el acceso desde la versión PDF o impresa; el vídeo no sustituye las verificaciones ni las mediciones de recepción.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633"/>
            <w:shd w:val="clear" w:color="auto" w:fill="F5F8FC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24000" cy="22072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000" cy="2207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 xml:space="preserve">▶  </w:t>
            </w:r>
            <w:hyperlink r:id="rId10" w:history="1">
              <w:r>
                <w:rPr>
                  <w:color w:val="0066CC"/>
                  <w:u w:val="single"/>
                </w:rPr>
                <w:t>Abrir vídeo de recorrido</w:t>
              </w:r>
            </w:hyperlink>
          </w:p>
        </w:tc>
        <w:tc>
          <w:tcPr>
            <w:tcW w:type="dxa" w:w="2098"/>
            <w:shd w:val="clear" w:color="auto" w:fill="F5F8FC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5"/>
              </w:rPr>
              <w:t>Escanear para abrir</w:t>
            </w:r>
          </w:p>
        </w:tc>
      </w:tr>
    </w:tbl>
    <w:p>
      <w:pPr>
        <w:spacing w:before="60"/>
      </w:pPr>
      <w:r>
        <w:rPr>
          <w:b/>
        </w:rPr>
        <w:t xml:space="preserve">Enlace de vídeo: </w:t>
      </w:r>
      <w:hyperlink r:id="rId10" w:history="1">
        <w:r>
          <w:rPr>
            <w:color w:val="0066CC"/>
            <w:u w:val="single"/>
          </w:rPr>
          <w:t>https://contoso.sharepoint.com/sites/project/video/recorrido-tunel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contoso.sharepoint.com/sites/project/video/recorrido-tunel" TargetMode="Externa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