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b/>
          <w:color w:val="1A56B0"/>
          <w:sz w:val="21"/>
        </w:rPr>
        <w:t>Planta de situación e implantación</w:t>
      </w:r>
    </w:p>
    <w:p>
      <w:pPr>
        <w:spacing w:before="80" w:after="80"/>
        <w:pBdr>
          <w:bottom w:val="single" w:sz="8" w:space="1" w:color="1A56B0"/>
        </w:pBdr>
      </w:pPr>
    </w:p>
    <w:p>
      <w:r>
        <w:rPr>
          <w:color w:val="666666"/>
          <w:sz w:val="17"/>
        </w:rPr>
        <w:t>No se incluye la situación satelital porque el proyecto no dispone de eje OSM ni coordenadas válidas.</w:t>
      </w:r>
    </w:p>
    <w:p>
      <w:pPr>
        <w:spacing w:before="160" w:after="80"/>
      </w:pPr>
      <w:r>
        <w:rPr>
          <w:b/>
          <w:color w:val="1A56B0"/>
          <w:sz w:val="21"/>
        </w:rPr>
        <w:t>Planta longitudinal de luminarias</w:t>
      </w:r>
    </w:p>
    <w:p>
      <w:pPr>
        <w:spacing w:before="80" w:after="80"/>
        <w:pBdr>
          <w:bottom w:val="single" w:sz="8" w:space="1" w:color="1A56B0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56B0"/>
          <w:sz w:val="21"/>
        </w:rPr>
        <w:t>Sección transversal y cotas de montaje</w:t>
      </w:r>
    </w:p>
    <w:p>
      <w:pPr>
        <w:spacing w:before="80" w:after="80"/>
        <w:pBdr>
          <w:bottom w:val="single" w:sz="8" w:space="1" w:color="1A56B0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